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仿宋_GB2312" w:hAnsi="仿宋_GB2312" w:eastAsia="仿宋_GB2312" w:cs="仿宋_GB2312"/>
          <w:sz w:val="32"/>
          <w:szCs w:val="32"/>
          <w:lang w:eastAsia="zh-CN"/>
        </w:rPr>
      </w:pPr>
    </w:p>
    <w:p>
      <w:pPr>
        <w:pStyle w:val="2"/>
        <w:bidi w:val="0"/>
        <w:jc w:val="center"/>
        <w:rPr>
          <w:rFonts w:hint="eastAsia" w:ascii="仿宋_GB2312" w:hAnsi="仿宋_GB2312" w:eastAsia="仿宋_GB2312" w:cs="仿宋_GB2312"/>
          <w:sz w:val="32"/>
          <w:szCs w:val="32"/>
          <w:lang w:eastAsia="zh-CN"/>
        </w:rPr>
      </w:pPr>
    </w:p>
    <w:p>
      <w:pPr>
        <w:pStyle w:val="2"/>
        <w:bidi w:val="0"/>
        <w:jc w:val="center"/>
        <w:rPr>
          <w:rFonts w:hint="eastAsia" w:ascii="仿宋_GB2312" w:hAnsi="仿宋_GB2312" w:eastAsia="仿宋_GB2312" w:cs="仿宋_GB2312"/>
          <w:sz w:val="32"/>
          <w:szCs w:val="32"/>
          <w:lang w:eastAsia="zh-CN"/>
        </w:rPr>
      </w:pPr>
    </w:p>
    <w:p>
      <w:pPr>
        <w:pStyle w:val="2"/>
        <w:bidi w:val="0"/>
        <w:jc w:val="center"/>
        <w:rPr>
          <w:rFonts w:hint="eastAsia" w:ascii="仿宋_GB2312" w:hAnsi="仿宋_GB2312" w:eastAsia="仿宋_GB2312" w:cs="仿宋_GB2312"/>
          <w:sz w:val="32"/>
          <w:szCs w:val="32"/>
          <w:lang w:eastAsia="zh-CN"/>
        </w:rPr>
      </w:pPr>
    </w:p>
    <w:p>
      <w:pPr>
        <w:pStyle w:val="2"/>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歙发改环资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398</w:t>
      </w:r>
      <w:r>
        <w:rPr>
          <w:rFonts w:hint="eastAsia" w:ascii="仿宋_GB2312" w:hAnsi="仿宋_GB2312" w:eastAsia="仿宋_GB2312" w:cs="仿宋_GB2312"/>
          <w:sz w:val="32"/>
          <w:szCs w:val="32"/>
          <w:lang w:eastAsia="zh-CN"/>
        </w:rPr>
        <w:t>号</w:t>
      </w:r>
    </w:p>
    <w:p>
      <w:pPr>
        <w:pStyle w:val="2"/>
        <w:bidi w:val="0"/>
        <w:jc w:val="center"/>
        <w:rPr>
          <w:rFonts w:hint="eastAsia"/>
        </w:rPr>
      </w:pPr>
    </w:p>
    <w:p>
      <w:pPr>
        <w:pStyle w:val="2"/>
        <w:bidi w:val="0"/>
        <w:jc w:val="center"/>
        <w:rPr>
          <w:rFonts w:hint="eastAsia"/>
        </w:rPr>
      </w:pPr>
      <w:r>
        <w:rPr>
          <w:rFonts w:hint="eastAsia"/>
        </w:rPr>
        <w:t>关于</w:t>
      </w:r>
      <w:r>
        <w:rPr>
          <w:rFonts w:hint="eastAsia"/>
          <w:lang w:eastAsia="zh-CN"/>
        </w:rPr>
        <w:t>印发</w:t>
      </w:r>
      <w:r>
        <w:rPr>
          <w:rFonts w:hint="eastAsia"/>
        </w:rPr>
        <w:t>《</w:t>
      </w:r>
      <w:r>
        <w:rPr>
          <w:rFonts w:hint="eastAsia"/>
          <w:lang w:eastAsia="zh-CN"/>
        </w:rPr>
        <w:t>歙县</w:t>
      </w:r>
      <w:r>
        <w:rPr>
          <w:rFonts w:hint="eastAsia"/>
        </w:rPr>
        <w:t>电力接入工程“零投资”</w:t>
      </w:r>
    </w:p>
    <w:p>
      <w:pPr>
        <w:pStyle w:val="2"/>
        <w:bidi w:val="0"/>
        <w:jc w:val="center"/>
        <w:rPr>
          <w:rFonts w:hint="eastAsia"/>
        </w:rPr>
      </w:pPr>
      <w:r>
        <w:rPr>
          <w:rFonts w:hint="eastAsia"/>
        </w:rPr>
        <w:t>实施意见（试行）》的通知</w:t>
      </w:r>
    </w:p>
    <w:p>
      <w:pPr>
        <w:rPr>
          <w:rFonts w:hint="eastAsia"/>
        </w:rPr>
      </w:pPr>
    </w:p>
    <w:p>
      <w:pPr>
        <w:ind w:left="0" w:leftChars="0" w:firstLine="0" w:firstLineChars="0"/>
        <w:rPr>
          <w:rFonts w:hint="eastAsia"/>
          <w:lang w:eastAsia="zh-CN"/>
        </w:rPr>
      </w:pPr>
      <w:r>
        <w:rPr>
          <w:rFonts w:hint="eastAsia"/>
          <w:lang w:eastAsia="zh-CN"/>
        </w:rPr>
        <w:t>各乡镇人民政府，县经开区管委会、县直有关单位：</w:t>
      </w:r>
    </w:p>
    <w:p>
      <w:pPr>
        <w:rPr>
          <w:rFonts w:hint="eastAsia"/>
          <w:lang w:val="en-US" w:eastAsia="zh-CN"/>
        </w:rPr>
      </w:pPr>
      <w:r>
        <w:rPr>
          <w:rFonts w:hint="eastAsia"/>
          <w:lang w:eastAsia="zh-CN"/>
        </w:rPr>
        <w:t>为进一步提升“获得电力”服务水平，持续优化用电营商环境，将延伸电网投资界面至用户建筑区划红线，现将</w:t>
      </w:r>
      <w:r>
        <w:rPr>
          <w:rFonts w:hint="eastAsia"/>
        </w:rPr>
        <w:t>《</w:t>
      </w:r>
      <w:r>
        <w:rPr>
          <w:rFonts w:hint="eastAsia"/>
          <w:lang w:eastAsia="zh-CN"/>
        </w:rPr>
        <w:t>歙县</w:t>
      </w:r>
      <w:r>
        <w:rPr>
          <w:rFonts w:hint="eastAsia"/>
        </w:rPr>
        <w:t>电力接入工程“零投资”实施意见</w:t>
      </w:r>
      <w:r>
        <w:rPr>
          <w:rFonts w:hint="eastAsia"/>
          <w:lang w:eastAsia="zh-CN"/>
        </w:rPr>
        <w:t>（试行）</w:t>
      </w:r>
      <w:r>
        <w:rPr>
          <w:rFonts w:hint="eastAsia"/>
        </w:rPr>
        <w:t>》</w:t>
      </w:r>
      <w:r>
        <w:rPr>
          <w:rFonts w:hint="eastAsia"/>
          <w:lang w:eastAsia="zh-CN"/>
        </w:rPr>
        <w:t>印发给你们，请遵照执行</w:t>
      </w:r>
      <w:r>
        <w:rPr>
          <w:rFonts w:hint="eastAsia"/>
          <w:lang w:val="en-US" w:eastAsia="zh-CN"/>
        </w:rPr>
        <w:t>。</w:t>
      </w:r>
    </w:p>
    <w:p>
      <w:pPr>
        <w:rPr>
          <w:rFonts w:hint="eastAsia"/>
          <w:lang w:eastAsia="zh-CN"/>
        </w:rPr>
      </w:pPr>
    </w:p>
    <w:p>
      <w:pPr>
        <w:ind w:left="0" w:leftChars="0" w:firstLine="0" w:firstLineChars="0"/>
        <w:rPr>
          <w:rFonts w:hint="eastAsia"/>
        </w:rPr>
      </w:pPr>
    </w:p>
    <w:p>
      <w:pPr>
        <w:rPr>
          <w:rFonts w:hint="eastAsia"/>
        </w:rPr>
      </w:pPr>
      <w:r>
        <w:rPr>
          <w:rFonts w:hint="eastAsia"/>
          <w:lang w:eastAsia="zh-CN"/>
        </w:rPr>
        <w:t>歙县</w:t>
      </w:r>
      <w:r>
        <w:rPr>
          <w:rFonts w:hint="eastAsia"/>
        </w:rPr>
        <w:t>发展和改革委员会</w:t>
      </w:r>
      <w:r>
        <w:rPr>
          <w:rFonts w:hint="eastAsia"/>
          <w:lang w:val="en-US" w:eastAsia="zh-CN"/>
        </w:rPr>
        <w:t xml:space="preserve">         </w:t>
      </w:r>
      <w:r>
        <w:rPr>
          <w:rFonts w:hint="eastAsia"/>
          <w:lang w:eastAsia="zh-CN"/>
        </w:rPr>
        <w:t>歙县</w:t>
      </w:r>
      <w:r>
        <w:rPr>
          <w:rFonts w:hint="eastAsia"/>
        </w:rPr>
        <w:t>财政局</w:t>
      </w:r>
    </w:p>
    <w:p>
      <w:pPr>
        <w:rPr>
          <w:rFonts w:hint="eastAsia"/>
        </w:rPr>
      </w:pPr>
    </w:p>
    <w:p>
      <w:pPr>
        <w:rPr>
          <w:rFonts w:hint="eastAsia"/>
        </w:rPr>
      </w:pPr>
    </w:p>
    <w:p>
      <w:pPr>
        <w:rPr>
          <w:rFonts w:hint="eastAsia"/>
        </w:rPr>
      </w:pPr>
    </w:p>
    <w:p>
      <w:pPr>
        <w:rPr>
          <w:rFonts w:hint="eastAsia"/>
        </w:rPr>
      </w:pPr>
      <w:r>
        <w:rPr>
          <w:rFonts w:hint="eastAsia"/>
          <w:lang w:eastAsia="zh-CN"/>
        </w:rPr>
        <w:t>歙县</w:t>
      </w:r>
      <w:r>
        <w:rPr>
          <w:rFonts w:hint="eastAsia"/>
        </w:rPr>
        <w:t>自然资源和规划局</w:t>
      </w:r>
      <w:r>
        <w:rPr>
          <w:rFonts w:hint="eastAsia"/>
          <w:lang w:val="en-US" w:eastAsia="zh-CN"/>
        </w:rPr>
        <w:t xml:space="preserve">         </w:t>
      </w:r>
      <w:r>
        <w:rPr>
          <w:rFonts w:hint="eastAsia"/>
          <w:lang w:eastAsia="zh-CN"/>
        </w:rPr>
        <w:t>歙县</w:t>
      </w:r>
      <w:r>
        <w:rPr>
          <w:rFonts w:hint="eastAsia"/>
        </w:rPr>
        <w:t>住房和城乡建设局</w:t>
      </w:r>
    </w:p>
    <w:p>
      <w:pPr>
        <w:rPr>
          <w:rFonts w:hint="eastAsia"/>
        </w:rPr>
      </w:pPr>
    </w:p>
    <w:p>
      <w:pPr>
        <w:rPr>
          <w:rFonts w:hint="eastAsia"/>
        </w:rPr>
      </w:pPr>
    </w:p>
    <w:p>
      <w:pPr>
        <w:rPr>
          <w:rFonts w:hint="eastAsia"/>
        </w:rPr>
      </w:pPr>
    </w:p>
    <w:p>
      <w:pPr>
        <w:wordWrap w:val="0"/>
        <w:jc w:val="right"/>
        <w:rPr>
          <w:rFonts w:hint="default" w:eastAsia="仿宋_GB2312"/>
          <w:lang w:val="en-US" w:eastAsia="zh-CN"/>
        </w:rPr>
      </w:pPr>
      <w:r>
        <w:rPr>
          <w:rFonts w:hint="eastAsia"/>
        </w:rPr>
        <w:t>国网</w:t>
      </w:r>
      <w:r>
        <w:rPr>
          <w:rFonts w:hint="eastAsia"/>
          <w:lang w:eastAsia="zh-CN"/>
        </w:rPr>
        <w:t>歙县</w:t>
      </w:r>
      <w:r>
        <w:rPr>
          <w:rFonts w:hint="eastAsia"/>
        </w:rPr>
        <w:t>供电公司</w:t>
      </w:r>
      <w:r>
        <w:rPr>
          <w:rFonts w:hint="eastAsia"/>
          <w:lang w:val="en-US" w:eastAsia="zh-CN"/>
        </w:rPr>
        <w:t xml:space="preserve">     </w:t>
      </w:r>
    </w:p>
    <w:p>
      <w:pPr>
        <w:wordWrap w:val="0"/>
        <w:jc w:val="right"/>
        <w:rPr>
          <w:rFonts w:hint="eastAsia"/>
          <w:lang w:val="en-US" w:eastAsia="zh-CN"/>
        </w:rPr>
      </w:pPr>
    </w:p>
    <w:p>
      <w:pPr>
        <w:wordWrap/>
        <w:jc w:val="center"/>
        <w:rPr>
          <w:rFonts w:hint="default"/>
          <w:lang w:val="en-US" w:eastAsia="zh-CN"/>
        </w:rPr>
      </w:pPr>
      <w:r>
        <w:rPr>
          <w:rFonts w:hint="eastAsia"/>
          <w:lang w:val="en-US" w:eastAsia="zh-CN"/>
        </w:rPr>
        <w:t xml:space="preserve">                          2022年8月25日      </w:t>
      </w:r>
    </w:p>
    <w:p>
      <w:pPr>
        <w:ind w:left="0" w:leftChars="0" w:firstLine="0" w:firstLineChars="0"/>
        <w:rPr>
          <w:rFonts w:hint="eastAsia"/>
        </w:rPr>
      </w:pPr>
      <w:r>
        <w:rPr>
          <w:rFonts w:hint="eastAsia"/>
        </w:rPr>
        <w:br w:type="page"/>
      </w:r>
    </w:p>
    <w:p>
      <w:pPr>
        <w:pStyle w:val="2"/>
        <w:bidi w:val="0"/>
        <w:rPr>
          <w:rFonts w:hint="eastAsia"/>
        </w:rPr>
      </w:pPr>
      <w:r>
        <w:rPr>
          <w:rFonts w:hint="eastAsia"/>
          <w:lang w:eastAsia="zh-CN"/>
        </w:rPr>
        <w:t>歙县</w:t>
      </w:r>
      <w:r>
        <w:rPr>
          <w:rFonts w:hint="eastAsia"/>
        </w:rPr>
        <w:t>电力接入工程“零投资”实施意见</w:t>
      </w:r>
    </w:p>
    <w:p>
      <w:pPr>
        <w:rPr>
          <w:rFonts w:hint="eastAsia"/>
        </w:rPr>
      </w:pPr>
    </w:p>
    <w:p>
      <w:pPr>
        <w:pStyle w:val="3"/>
        <w:bidi w:val="0"/>
        <w:rPr>
          <w:rFonts w:hint="eastAsia"/>
        </w:rPr>
      </w:pPr>
      <w:r>
        <w:rPr>
          <w:rFonts w:hint="eastAsia"/>
          <w:lang w:eastAsia="zh-CN"/>
        </w:rPr>
        <w:t>一、目的和依据</w:t>
      </w:r>
    </w:p>
    <w:p>
      <w:pPr>
        <w:rPr>
          <w:rFonts w:hint="eastAsia"/>
        </w:rPr>
      </w:pPr>
      <w:r>
        <w:rPr>
          <w:rFonts w:hint="eastAsia"/>
        </w:rPr>
        <w:t>为贯彻落实《国务院办公厅转发国家发展改革委等部门关于清理规范城镇供水供电供气供暖行业收费促进行业高质量发展意见的通知》（国办函〔2020〕129号）、</w:t>
      </w:r>
      <w:r>
        <w:rPr>
          <w:rFonts w:hint="eastAsia"/>
          <w:lang w:eastAsia="zh-CN"/>
        </w:rPr>
        <w:t>《国家发展改革委国家能源局关于全面提升“获得电力”服务水平持续优化用电营商环境的意见》（发改能源规〔2020〕1479号）、</w:t>
      </w:r>
      <w:r>
        <w:rPr>
          <w:rFonts w:hint="eastAsia"/>
        </w:rPr>
        <w:t>《安徽省清理规范城镇供水供电供气行业收费促进行业高质量发展实施方案》(皖发改价格〔2021〕543号)、《安徽省人民政府办公厅关于印发创优营商环境对标提升举措（2022版）的通知》（皖政办秘〔2022〕13号）和《关于进一步做好电力接入工程“零投资”创建一流营商环境的通知》（皖发改价格函〔2022〕93号）</w:t>
      </w:r>
      <w:r>
        <w:rPr>
          <w:rFonts w:hint="eastAsia"/>
          <w:lang w:eastAsia="zh-CN"/>
        </w:rPr>
        <w:t>和《关于</w:t>
      </w:r>
      <w:r>
        <w:rPr>
          <w:rFonts w:hint="eastAsia"/>
        </w:rPr>
        <w:t>印</w:t>
      </w:r>
      <w:r>
        <w:rPr>
          <w:rFonts w:hint="eastAsia"/>
          <w:lang w:eastAsia="zh-CN"/>
        </w:rPr>
        <w:t>发黄山市电力接入工程“零投资”实施意见（试行）的通知》（黄</w:t>
      </w:r>
      <w:r>
        <w:rPr>
          <w:rFonts w:hint="eastAsia"/>
        </w:rPr>
        <w:t>发</w:t>
      </w:r>
      <w:r>
        <w:rPr>
          <w:rFonts w:hint="eastAsia"/>
          <w:lang w:eastAsia="zh-CN"/>
        </w:rPr>
        <w:t>改环资</w:t>
      </w:r>
      <w:r>
        <w:rPr>
          <w:rFonts w:hint="eastAsia"/>
        </w:rPr>
        <w:t>〔2022〕</w:t>
      </w:r>
      <w:r>
        <w:rPr>
          <w:rFonts w:hint="eastAsia"/>
          <w:lang w:val="en-US" w:eastAsia="zh-CN"/>
        </w:rPr>
        <w:t>24</w:t>
      </w:r>
      <w:r>
        <w:rPr>
          <w:rFonts w:hint="eastAsia"/>
        </w:rPr>
        <w:t>号）等文件精神和要求，进一步优化</w:t>
      </w:r>
      <w:r>
        <w:rPr>
          <w:rFonts w:hint="eastAsia"/>
          <w:lang w:eastAsia="zh-CN"/>
        </w:rPr>
        <w:t>歙县</w:t>
      </w:r>
      <w:r>
        <w:rPr>
          <w:rFonts w:hint="eastAsia"/>
        </w:rPr>
        <w:t>营商环境，延伸电网投资界面至用户建筑区划红线，实现电力接入工程用户“零投资”，结合本</w:t>
      </w:r>
      <w:r>
        <w:rPr>
          <w:rFonts w:hint="eastAsia"/>
          <w:lang w:eastAsia="zh-CN"/>
        </w:rPr>
        <w:t>县</w:t>
      </w:r>
      <w:r>
        <w:rPr>
          <w:rFonts w:hint="eastAsia"/>
        </w:rPr>
        <w:t>工作实际，制定本实施意见。</w:t>
      </w:r>
    </w:p>
    <w:p>
      <w:pPr>
        <w:pStyle w:val="3"/>
        <w:bidi w:val="0"/>
        <w:rPr>
          <w:rFonts w:hint="eastAsia"/>
          <w:lang w:eastAsia="zh-CN"/>
        </w:rPr>
      </w:pPr>
      <w:r>
        <w:rPr>
          <w:rFonts w:hint="eastAsia"/>
          <w:lang w:eastAsia="zh-CN"/>
        </w:rPr>
        <w:t>二、适用范围及定义</w:t>
      </w:r>
    </w:p>
    <w:p>
      <w:pPr>
        <w:rPr>
          <w:rFonts w:hint="eastAsia"/>
        </w:rPr>
      </w:pPr>
      <w:r>
        <w:rPr>
          <w:rFonts w:hint="eastAsia"/>
        </w:rPr>
        <w:t>本实施意见适用于</w:t>
      </w:r>
      <w:r>
        <w:rPr>
          <w:rFonts w:hint="eastAsia"/>
          <w:lang w:eastAsia="zh-CN"/>
        </w:rPr>
        <w:t>歙县</w:t>
      </w:r>
      <w:r>
        <w:rPr>
          <w:rFonts w:hint="eastAsia"/>
        </w:rPr>
        <w:t>城镇规划建设用地范围。</w:t>
      </w:r>
    </w:p>
    <w:p>
      <w:pPr>
        <w:rPr>
          <w:rFonts w:hint="eastAsia"/>
        </w:rPr>
      </w:pPr>
      <w:r>
        <w:rPr>
          <w:rFonts w:hint="eastAsia"/>
        </w:rPr>
        <w:t>电力接入工程费用指由于用户申请新装、增容或变更用电而引起的，</w:t>
      </w:r>
      <w:r>
        <w:rPr>
          <w:rFonts w:hint="eastAsia"/>
          <w:highlight w:val="none"/>
        </w:rPr>
        <w:t>从用户地块区划红线连接至公共管网发生的入网工程建设费用</w:t>
      </w:r>
      <w:r>
        <w:rPr>
          <w:rFonts w:hint="eastAsia"/>
          <w:highlight w:val="none"/>
          <w:lang w:eastAsia="zh-CN"/>
        </w:rPr>
        <w:t>；</w:t>
      </w:r>
      <w:r>
        <w:rPr>
          <w:rFonts w:hint="eastAsia"/>
          <w:highlight w:val="none"/>
        </w:rPr>
        <w:t>原则上</w:t>
      </w:r>
      <w:r>
        <w:rPr>
          <w:rFonts w:hint="eastAsia"/>
          <w:highlight w:val="none"/>
          <w:lang w:eastAsia="zh-CN"/>
        </w:rPr>
        <w:t>电力接入工程按照</w:t>
      </w:r>
      <w:r>
        <w:rPr>
          <w:rFonts w:hint="eastAsia"/>
          <w:highlight w:val="none"/>
        </w:rPr>
        <w:t>架空</w:t>
      </w:r>
      <w:r>
        <w:rPr>
          <w:rFonts w:hint="eastAsia"/>
          <w:highlight w:val="none"/>
          <w:lang w:eastAsia="zh-CN"/>
        </w:rPr>
        <w:t>线路标准</w:t>
      </w:r>
      <w:r>
        <w:rPr>
          <w:rFonts w:hint="eastAsia"/>
          <w:highlight w:val="none"/>
        </w:rPr>
        <w:t>建设，</w:t>
      </w:r>
      <w:r>
        <w:rPr>
          <w:rFonts w:hint="eastAsia"/>
          <w:highlight w:val="none"/>
          <w:lang w:eastAsia="zh-CN"/>
        </w:rPr>
        <w:t>或根据属地专项规划要求，采取规定的标准建设；</w:t>
      </w:r>
      <w:r>
        <w:rPr>
          <w:rFonts w:hint="eastAsia"/>
          <w:highlight w:val="none"/>
        </w:rPr>
        <w:t>不含用户提出的超标准报装或个性化需求等延伸服务费用。</w:t>
      </w:r>
    </w:p>
    <w:p>
      <w:pPr>
        <w:rPr>
          <w:rFonts w:hint="default"/>
          <w:lang w:val="en-US"/>
        </w:rPr>
      </w:pPr>
      <w:r>
        <w:rPr>
          <w:rFonts w:hint="eastAsia"/>
        </w:rPr>
        <w:t>低压接入类项目，电力接入工程范围为计量箱至公共管网连接处的电力工程；高压架空线路接入类项目，电力接入工程范围为建筑规划红线处第一支持物至公共管网连接处的所有电力工程；高压电缆线路接入类项目，电力接入工程范围为建筑规划红线处新上开关（环网）站所、电缆分支箱等至公共管网连接处的所有电力工程。（电力接入工程范围见附件）</w:t>
      </w:r>
      <w:r>
        <w:rPr>
          <w:rFonts w:hint="eastAsia"/>
          <w:color w:val="000000" w:themeColor="text1"/>
          <w:highlight w:val="none"/>
          <w:lang w:eastAsia="zh-CN"/>
          <w14:textFill>
            <w14:solidFill>
              <w14:schemeClr w14:val="tx1"/>
            </w14:solidFill>
          </w14:textFill>
        </w:rPr>
        <w:t>建筑区划红线无法确定时，以距离用户建筑直线距离最近的现有市政道路规划红线为界。公共管网连接处距离用户建筑规划红线直线距离不足</w:t>
      </w:r>
      <w:r>
        <w:rPr>
          <w:rFonts w:hint="eastAsia"/>
          <w:color w:val="000000" w:themeColor="text1"/>
          <w:highlight w:val="none"/>
          <w:lang w:val="en-US" w:eastAsia="zh-CN"/>
          <w14:textFill>
            <w14:solidFill>
              <w14:schemeClr w14:val="tx1"/>
            </w14:solidFill>
          </w14:textFill>
        </w:rPr>
        <w:t>50米的，该公共管网连接处为红线第一支持物。</w:t>
      </w:r>
    </w:p>
    <w:p>
      <w:pPr>
        <w:pStyle w:val="3"/>
        <w:bidi w:val="0"/>
        <w:rPr>
          <w:rFonts w:hint="eastAsia"/>
        </w:rPr>
      </w:pPr>
      <w:r>
        <w:rPr>
          <w:rFonts w:hint="eastAsia"/>
          <w:lang w:eastAsia="zh-CN"/>
        </w:rPr>
        <w:t>三、费用</w:t>
      </w:r>
      <w:r>
        <w:rPr>
          <w:rFonts w:hint="eastAsia"/>
        </w:rPr>
        <w:t>分担机制</w:t>
      </w:r>
    </w:p>
    <w:p>
      <w:pPr>
        <w:rPr>
          <w:rFonts w:hint="eastAsia"/>
        </w:rPr>
      </w:pPr>
      <w:r>
        <w:rPr>
          <w:rFonts w:hint="eastAsia"/>
        </w:rPr>
        <w:t>按照“分类实施、按实结算、专账监管”的原则，建立政府、供电企业共同承担的电力接入工程费用分担机制，按项目类别</w:t>
      </w:r>
      <w:r>
        <w:rPr>
          <w:rFonts w:hint="eastAsia"/>
          <w:lang w:eastAsia="zh-CN"/>
        </w:rPr>
        <w:t>分为</w:t>
      </w:r>
      <w:r>
        <w:rPr>
          <w:rFonts w:hint="eastAsia"/>
        </w:rPr>
        <w:t>低压小微企业项目、储备土地项目（含土地征收）和除前两类外的其他类项目（以下简称“其他类项目”）三类</w:t>
      </w:r>
      <w:r>
        <w:rPr>
          <w:rFonts w:hint="eastAsia"/>
          <w:lang w:eastAsia="zh-CN"/>
        </w:rPr>
        <w:t>，具体如下</w:t>
      </w:r>
      <w:r>
        <w:rPr>
          <w:rFonts w:hint="eastAsia"/>
        </w:rPr>
        <w:t>。</w:t>
      </w:r>
    </w:p>
    <w:p>
      <w:pPr>
        <w:rPr>
          <w:rFonts w:hint="eastAsia"/>
        </w:rPr>
      </w:pPr>
      <w:r>
        <w:rPr>
          <w:rFonts w:hint="eastAsia"/>
          <w:lang w:eastAsia="zh-CN"/>
        </w:rPr>
        <w:t>（一）</w:t>
      </w:r>
      <w:r>
        <w:rPr>
          <w:rFonts w:hint="eastAsia"/>
        </w:rPr>
        <w:t>低压小微企业电力接入工程全部由供电公司承担。其中土建涉及的政策处理问题，由园区管理部门、属地乡镇负责处理解决。</w:t>
      </w:r>
    </w:p>
    <w:p>
      <w:pPr>
        <w:rPr>
          <w:rFonts w:hint="eastAsia"/>
        </w:rPr>
      </w:pPr>
      <w:r>
        <w:rPr>
          <w:rFonts w:hint="eastAsia"/>
          <w:lang w:eastAsia="zh-CN"/>
        </w:rPr>
        <w:t>（二）</w:t>
      </w:r>
      <w:r>
        <w:rPr>
          <w:rFonts w:hint="eastAsia"/>
        </w:rPr>
        <w:t>储备土地项目（含土地征收），将电力接入工程费用纳入土地储备成本，不得由供电公司负担。电力接入工程</w:t>
      </w:r>
      <w:r>
        <w:rPr>
          <w:rFonts w:hint="eastAsia"/>
          <w:lang w:eastAsia="zh-CN"/>
        </w:rPr>
        <w:t>可由实施储备土地项目的</w:t>
      </w:r>
      <w:r>
        <w:rPr>
          <w:rFonts w:hint="eastAsia"/>
        </w:rPr>
        <w:t>土地储备（征收）管理主体</w:t>
      </w:r>
      <w:r>
        <w:rPr>
          <w:rFonts w:hint="eastAsia"/>
          <w:lang w:eastAsia="zh-CN"/>
        </w:rPr>
        <w:t>委托供电公司组织实施，便于项目统一规划、统一实施，避免重复投资</w:t>
      </w:r>
      <w:r>
        <w:rPr>
          <w:rFonts w:hint="eastAsia"/>
        </w:rPr>
        <w:t>。</w:t>
      </w:r>
    </w:p>
    <w:p>
      <w:pPr>
        <w:rPr>
          <w:rFonts w:hint="eastAsia"/>
        </w:rPr>
      </w:pPr>
      <w:r>
        <w:rPr>
          <w:rFonts w:hint="eastAsia"/>
          <w:lang w:eastAsia="zh-CN"/>
        </w:rPr>
        <w:t>（三）</w:t>
      </w:r>
      <w:r>
        <w:rPr>
          <w:rFonts w:hint="eastAsia"/>
        </w:rPr>
        <w:t>其他类项目，根据行业标准确定供电电压等级为10kV的项目，</w:t>
      </w:r>
      <w:r>
        <w:rPr>
          <w:rFonts w:hint="eastAsia"/>
          <w:lang w:eastAsia="zh-CN"/>
        </w:rPr>
        <w:t>根据受益原则，</w:t>
      </w:r>
      <w:r>
        <w:rPr>
          <w:rFonts w:hint="eastAsia"/>
        </w:rPr>
        <w:t>由政府与供电公司共同出资。</w:t>
      </w:r>
      <w:r>
        <w:rPr>
          <w:rFonts w:hint="eastAsia"/>
          <w:lang w:eastAsia="zh-CN"/>
        </w:rPr>
        <w:t>其中，县级项目由县</w:t>
      </w:r>
      <w:r>
        <w:rPr>
          <w:rFonts w:hint="eastAsia"/>
        </w:rPr>
        <w:t>政府、</w:t>
      </w:r>
      <w:r>
        <w:rPr>
          <w:rFonts w:hint="eastAsia"/>
          <w:lang w:eastAsia="zh-CN"/>
        </w:rPr>
        <w:t>县</w:t>
      </w:r>
      <w:r>
        <w:rPr>
          <w:rFonts w:hint="eastAsia"/>
        </w:rPr>
        <w:t>供电公司按1:1比例出资</w:t>
      </w:r>
      <w:r>
        <w:rPr>
          <w:rFonts w:hint="eastAsia"/>
          <w:lang w:eastAsia="zh-CN"/>
        </w:rPr>
        <w:t>；市、县共管单位项目由市政府、县政府、供电公司按</w:t>
      </w:r>
      <w:r>
        <w:rPr>
          <w:rFonts w:hint="eastAsia"/>
        </w:rPr>
        <w:t>1:1:</w:t>
      </w:r>
      <w:r>
        <w:rPr>
          <w:rFonts w:hint="eastAsia"/>
          <w:lang w:val="en-US" w:eastAsia="zh-CN"/>
        </w:rPr>
        <w:t>2</w:t>
      </w:r>
      <w:r>
        <w:rPr>
          <w:rFonts w:hint="eastAsia"/>
        </w:rPr>
        <w:t>比例出资。对土建涉及的政策处理问题，由园区管理部门、属地政府等负责处理解决。对根据行业标准确定供电电压等级为35kV及以上的项目，由政府相关部门专题研究，一事一议明确电力接入费用方案。</w:t>
      </w:r>
    </w:p>
    <w:p>
      <w:pPr>
        <w:pStyle w:val="3"/>
        <w:bidi w:val="0"/>
        <w:rPr>
          <w:rFonts w:hint="eastAsia"/>
        </w:rPr>
      </w:pPr>
      <w:r>
        <w:rPr>
          <w:rFonts w:hint="eastAsia"/>
          <w:lang w:eastAsia="zh-CN"/>
        </w:rPr>
        <w:t>四、</w:t>
      </w:r>
      <w:r>
        <w:rPr>
          <w:rFonts w:hint="eastAsia"/>
        </w:rPr>
        <w:t>实施流程及要求</w:t>
      </w:r>
    </w:p>
    <w:p>
      <w:pPr>
        <w:rPr>
          <w:rFonts w:hint="eastAsia"/>
        </w:rPr>
      </w:pPr>
      <w:r>
        <w:rPr>
          <w:rFonts w:hint="eastAsia"/>
          <w:lang w:eastAsia="zh-CN"/>
        </w:rPr>
        <w:t>（一）</w:t>
      </w:r>
      <w:r>
        <w:rPr>
          <w:rFonts w:hint="eastAsia"/>
        </w:rPr>
        <w:t>低压小微企业项目接入工程，由供电公司负责出资建设，具体建设流程按照供电公司内部工程项目要求进行管理。</w:t>
      </w:r>
    </w:p>
    <w:p>
      <w:pPr>
        <w:rPr>
          <w:rFonts w:hint="eastAsia" w:eastAsia="仿宋_GB2312"/>
          <w:lang w:eastAsia="zh-CN"/>
        </w:rPr>
      </w:pPr>
      <w:r>
        <w:rPr>
          <w:rFonts w:hint="eastAsia"/>
          <w:lang w:eastAsia="zh-CN"/>
        </w:rPr>
        <w:t>（二）</w:t>
      </w:r>
      <w:r>
        <w:rPr>
          <w:rFonts w:hint="eastAsia"/>
        </w:rPr>
        <w:t>储备土地项目（含土地征收）电力接入工程</w:t>
      </w:r>
      <w:r>
        <w:rPr>
          <w:rFonts w:hint="eastAsia"/>
          <w:lang w:eastAsia="zh-CN"/>
        </w:rPr>
        <w:t>纳入政府投资项目管理，</w:t>
      </w:r>
      <w:r>
        <w:rPr>
          <w:rFonts w:hint="eastAsia"/>
        </w:rPr>
        <w:t>土地储备（征收）管理主体</w:t>
      </w:r>
      <w:r>
        <w:rPr>
          <w:rFonts w:hint="eastAsia"/>
          <w:lang w:eastAsia="zh-CN"/>
        </w:rPr>
        <w:t>作为实施机构可委托供电公司组织实施，项目及资金列入县本级及</w:t>
      </w:r>
      <w:r>
        <w:rPr>
          <w:rFonts w:hint="eastAsia"/>
        </w:rPr>
        <w:t>土地储备（征收）管理主体</w:t>
      </w:r>
      <w:r>
        <w:rPr>
          <w:rFonts w:hint="eastAsia"/>
          <w:lang w:eastAsia="zh-CN"/>
        </w:rPr>
        <w:t>年度建设计划。具体建设流程及要求按照</w:t>
      </w:r>
      <w:r>
        <w:rPr>
          <w:rFonts w:hint="eastAsia"/>
        </w:rPr>
        <w:t>土地储备（征收）管理主体</w:t>
      </w:r>
      <w:r>
        <w:rPr>
          <w:rFonts w:hint="eastAsia"/>
          <w:lang w:eastAsia="zh-CN"/>
        </w:rPr>
        <w:t>相关规定执行。</w:t>
      </w:r>
    </w:p>
    <w:p>
      <w:pPr>
        <w:jc w:val="left"/>
        <w:rPr>
          <w:rFonts w:hint="eastAsia"/>
        </w:rPr>
      </w:pPr>
      <w:r>
        <w:rPr>
          <w:rFonts w:hint="eastAsia"/>
          <w:lang w:eastAsia="zh-CN"/>
        </w:rPr>
        <w:t>（三）</w:t>
      </w:r>
      <w:r>
        <w:rPr>
          <w:rFonts w:hint="eastAsia"/>
        </w:rPr>
        <w:t>其他类项目，</w:t>
      </w:r>
      <w:r>
        <w:rPr>
          <w:rFonts w:hint="eastAsia"/>
          <w:lang w:eastAsia="zh-CN"/>
        </w:rPr>
        <w:t>由供电公司组织实施的，根据招标结果签订建设合同，依据合同及时拨付至供电公司专户。建设费用采用先行预支、审计决算后清算方式，项目竣工财务决算以双方共同认可的审计单位审核为准。</w:t>
      </w:r>
      <w:r>
        <w:rPr>
          <w:rFonts w:hint="eastAsia"/>
        </w:rPr>
        <w:t>具体建设流程及要求如下：</w:t>
      </w:r>
    </w:p>
    <w:p>
      <w:pPr>
        <w:rPr>
          <w:rFonts w:hint="eastAsia"/>
        </w:rPr>
      </w:pPr>
      <w:r>
        <w:rPr>
          <w:rStyle w:val="10"/>
          <w:rFonts w:hint="eastAsia"/>
          <w:lang w:val="en-US" w:eastAsia="zh-CN"/>
        </w:rPr>
        <w:t>1.申请</w:t>
      </w:r>
      <w:r>
        <w:rPr>
          <w:rStyle w:val="10"/>
          <w:rFonts w:hint="eastAsia"/>
        </w:rPr>
        <w:t>受理。</w:t>
      </w:r>
      <w:r>
        <w:rPr>
          <w:rFonts w:hint="eastAsia"/>
        </w:rPr>
        <w:t>供电公司受理用户的报装申请，填报《其他类10kV用户红线外电力接入工程项目备案表》，制定用电企业电源接入点，根据项目终期用电规模出具电网配套前置条件书、电力接入工程图纸和相应概（预）算书。</w:t>
      </w:r>
      <w:r>
        <w:rPr>
          <w:rFonts w:hint="eastAsia"/>
          <w:lang w:eastAsia="zh-CN"/>
        </w:rPr>
        <w:t>并将</w:t>
      </w:r>
      <w:r>
        <w:rPr>
          <w:rFonts w:hint="eastAsia"/>
        </w:rPr>
        <w:t>《其他类10kV用户红线外电力接入工程项目备案表》</w:t>
      </w:r>
      <w:r>
        <w:rPr>
          <w:rFonts w:hint="eastAsia"/>
          <w:lang w:eastAsia="zh-CN"/>
        </w:rPr>
        <w:t>、</w:t>
      </w:r>
      <w:r>
        <w:rPr>
          <w:rFonts w:hint="eastAsia"/>
        </w:rPr>
        <w:t>电网配套前置条件书、电力接入工程图纸和相应概（预）算书报送至</w:t>
      </w:r>
      <w:r>
        <w:rPr>
          <w:rFonts w:hint="eastAsia"/>
          <w:lang w:eastAsia="zh-CN"/>
        </w:rPr>
        <w:t>县</w:t>
      </w:r>
      <w:r>
        <w:rPr>
          <w:rFonts w:hint="eastAsia"/>
        </w:rPr>
        <w:t>发改</w:t>
      </w:r>
      <w:r>
        <w:rPr>
          <w:rFonts w:hint="eastAsia"/>
          <w:lang w:eastAsia="zh-CN"/>
        </w:rPr>
        <w:t>、财政</w:t>
      </w:r>
      <w:r>
        <w:rPr>
          <w:rFonts w:hint="eastAsia"/>
        </w:rPr>
        <w:t>部门</w:t>
      </w:r>
      <w:r>
        <w:rPr>
          <w:rFonts w:hint="eastAsia"/>
          <w:lang w:eastAsia="zh-CN"/>
        </w:rPr>
        <w:t>确认</w:t>
      </w:r>
      <w:r>
        <w:rPr>
          <w:rFonts w:hint="eastAsia"/>
        </w:rPr>
        <w:t>。</w:t>
      </w:r>
    </w:p>
    <w:p>
      <w:pPr>
        <w:rPr>
          <w:rFonts w:hint="eastAsia"/>
        </w:rPr>
      </w:pPr>
      <w:r>
        <w:rPr>
          <w:rStyle w:val="10"/>
          <w:rFonts w:hint="eastAsia"/>
          <w:highlight w:val="none"/>
          <w:shd w:val="clear"/>
          <w:lang w:val="en-US" w:eastAsia="zh-CN"/>
        </w:rPr>
        <w:t>2.项目</w:t>
      </w:r>
      <w:r>
        <w:rPr>
          <w:rStyle w:val="10"/>
          <w:rFonts w:hint="eastAsia"/>
          <w:highlight w:val="none"/>
          <w:shd w:val="clear"/>
          <w:lang w:eastAsia="zh-CN"/>
        </w:rPr>
        <w:t>确认</w:t>
      </w:r>
      <w:r>
        <w:rPr>
          <w:rStyle w:val="10"/>
          <w:rFonts w:hint="eastAsia"/>
          <w:highlight w:val="none"/>
          <w:shd w:val="clear"/>
        </w:rPr>
        <w:t>。</w:t>
      </w:r>
      <w:r>
        <w:rPr>
          <w:rFonts w:hint="eastAsia" w:ascii="仿宋_GB2312" w:hAnsi="仿宋_GB2312" w:eastAsia="仿宋_GB2312" w:cs="仿宋_GB2312"/>
          <w:highlight w:val="none"/>
          <w:shd w:val="clear"/>
          <w:lang w:eastAsia="zh-CN"/>
        </w:rPr>
        <w:t>县</w:t>
      </w:r>
      <w:r>
        <w:rPr>
          <w:rFonts w:hint="eastAsia"/>
          <w:highlight w:val="none"/>
          <w:shd w:val="clear"/>
        </w:rPr>
        <w:t>发改</w:t>
      </w:r>
      <w:r>
        <w:rPr>
          <w:rFonts w:hint="eastAsia"/>
          <w:highlight w:val="none"/>
          <w:shd w:val="clear"/>
          <w:lang w:val="en-US" w:eastAsia="zh-CN"/>
        </w:rPr>
        <w:t>委</w:t>
      </w:r>
      <w:r>
        <w:rPr>
          <w:rFonts w:hint="eastAsia"/>
          <w:highlight w:val="none"/>
          <w:shd w:val="clear"/>
          <w:lang w:eastAsia="zh-CN"/>
        </w:rPr>
        <w:t>会同相关</w:t>
      </w:r>
      <w:r>
        <w:rPr>
          <w:rFonts w:hint="eastAsia"/>
          <w:highlight w:val="none"/>
          <w:shd w:val="clear"/>
        </w:rPr>
        <w:t>部门可通过现场核查、调阅资料、发征询函等方式对项目进行确认。</w:t>
      </w:r>
      <w:r>
        <w:rPr>
          <w:rFonts w:hint="eastAsia"/>
          <w:highlight w:val="none"/>
          <w:shd w:val="clear"/>
          <w:lang w:eastAsia="zh-CN"/>
        </w:rPr>
        <w:t>根据确认结果，财政部门每半年按预算相关规定将</w:t>
      </w:r>
      <w:r>
        <w:rPr>
          <w:rFonts w:hint="eastAsia"/>
          <w:highlight w:val="none"/>
          <w:shd w:val="clear"/>
        </w:rPr>
        <w:t>概（</w:t>
      </w:r>
      <w:bookmarkStart w:id="0" w:name="_GoBack"/>
      <w:bookmarkEnd w:id="0"/>
      <w:r>
        <w:rPr>
          <w:rFonts w:hint="eastAsia"/>
          <w:highlight w:val="none"/>
          <w:shd w:val="clear"/>
        </w:rPr>
        <w:t>预）算按分摊比例的30%资金</w:t>
      </w:r>
      <w:r>
        <w:rPr>
          <w:rFonts w:hint="eastAsia"/>
          <w:lang w:eastAsia="zh-CN"/>
        </w:rPr>
        <w:t>指标下达县发改部门，由县发改部门</w:t>
      </w:r>
      <w:r>
        <w:rPr>
          <w:rFonts w:hint="eastAsia"/>
        </w:rPr>
        <w:t>拨付至供电公司指定账户。</w:t>
      </w:r>
    </w:p>
    <w:p>
      <w:pPr>
        <w:rPr>
          <w:rFonts w:hint="eastAsia"/>
        </w:rPr>
      </w:pPr>
      <w:r>
        <w:rPr>
          <w:rStyle w:val="10"/>
          <w:rFonts w:hint="eastAsia"/>
          <w:lang w:val="en-US" w:eastAsia="zh-CN"/>
        </w:rPr>
        <w:t>3.</w:t>
      </w:r>
      <w:r>
        <w:rPr>
          <w:rStyle w:val="10"/>
          <w:rFonts w:hint="eastAsia"/>
          <w:lang w:eastAsia="zh-CN"/>
        </w:rPr>
        <w:t>接入工程建设</w:t>
      </w:r>
      <w:r>
        <w:rPr>
          <w:rStyle w:val="10"/>
          <w:rFonts w:hint="eastAsia"/>
        </w:rPr>
        <w:t>。</w:t>
      </w:r>
      <w:r>
        <w:rPr>
          <w:rFonts w:hint="eastAsia"/>
          <w:lang w:eastAsia="zh-CN"/>
        </w:rPr>
        <w:t>项目确认</w:t>
      </w:r>
      <w:r>
        <w:rPr>
          <w:rFonts w:hint="eastAsia"/>
        </w:rPr>
        <w:t>后，供电公司根据国家、省、市</w:t>
      </w:r>
      <w:r>
        <w:rPr>
          <w:rFonts w:hint="eastAsia"/>
          <w:lang w:eastAsia="zh-CN"/>
        </w:rPr>
        <w:t>、县</w:t>
      </w:r>
      <w:r>
        <w:rPr>
          <w:rFonts w:hint="eastAsia"/>
        </w:rPr>
        <w:t>招投标相关规定，组织工程施工与物资招标，组织开展工程建设，确保电网配套工程建设时序要满足用户接电需求。</w:t>
      </w:r>
    </w:p>
    <w:p>
      <w:pPr>
        <w:rPr>
          <w:rFonts w:hint="eastAsia"/>
        </w:rPr>
      </w:pPr>
      <w:r>
        <w:rPr>
          <w:rStyle w:val="10"/>
          <w:rFonts w:hint="eastAsia"/>
          <w:lang w:val="en-US" w:eastAsia="zh-CN"/>
        </w:rPr>
        <w:t>4.接入工程</w:t>
      </w:r>
      <w:r>
        <w:rPr>
          <w:rStyle w:val="10"/>
          <w:rFonts w:hint="eastAsia"/>
        </w:rPr>
        <w:t>验收。</w:t>
      </w:r>
      <w:r>
        <w:rPr>
          <w:rFonts w:hint="eastAsia"/>
        </w:rPr>
        <w:t>工程完工后，供电公司2个工作日内组织有关部门开展工程验收，出具验收意见。</w:t>
      </w:r>
    </w:p>
    <w:p>
      <w:pPr>
        <w:rPr>
          <w:rFonts w:hint="eastAsia"/>
        </w:rPr>
      </w:pPr>
      <w:r>
        <w:rPr>
          <w:rStyle w:val="10"/>
          <w:rFonts w:hint="eastAsia"/>
          <w:lang w:val="en-US" w:eastAsia="zh-CN"/>
        </w:rPr>
        <w:t>5.审价决算</w:t>
      </w:r>
      <w:r>
        <w:rPr>
          <w:rStyle w:val="10"/>
          <w:rFonts w:hint="eastAsia"/>
        </w:rPr>
        <w:t>。</w:t>
      </w:r>
      <w:r>
        <w:rPr>
          <w:rFonts w:hint="eastAsia"/>
        </w:rPr>
        <w:t>供电公司每月初将上个月已完成项目</w:t>
      </w:r>
      <w:r>
        <w:rPr>
          <w:rFonts w:hint="eastAsia"/>
          <w:lang w:eastAsia="zh-CN"/>
        </w:rPr>
        <w:t>的</w:t>
      </w:r>
      <w:r>
        <w:rPr>
          <w:rFonts w:hint="eastAsia"/>
        </w:rPr>
        <w:t>《其他类10kV用户红线外电力接入工程项目备案表》、验收合格意见、工程结算报告</w:t>
      </w:r>
      <w:r>
        <w:rPr>
          <w:rFonts w:hint="eastAsia"/>
          <w:lang w:eastAsia="zh-CN"/>
        </w:rPr>
        <w:t>、审计的决算报告或意见</w:t>
      </w:r>
      <w:r>
        <w:rPr>
          <w:rFonts w:hint="eastAsia"/>
        </w:rPr>
        <w:t>汇总提交</w:t>
      </w:r>
      <w:r>
        <w:rPr>
          <w:rFonts w:hint="eastAsia"/>
          <w:lang w:eastAsia="zh-CN"/>
        </w:rPr>
        <w:t>县</w:t>
      </w:r>
      <w:r>
        <w:rPr>
          <w:rFonts w:hint="eastAsia"/>
        </w:rPr>
        <w:t>发改</w:t>
      </w:r>
      <w:r>
        <w:rPr>
          <w:rFonts w:hint="eastAsia"/>
          <w:lang w:eastAsia="zh-CN"/>
        </w:rPr>
        <w:t>、财政</w:t>
      </w:r>
      <w:r>
        <w:rPr>
          <w:rFonts w:hint="eastAsia"/>
        </w:rPr>
        <w:t>部门。</w:t>
      </w:r>
    </w:p>
    <w:p>
      <w:pPr>
        <w:rPr>
          <w:rFonts w:hint="eastAsia"/>
        </w:rPr>
      </w:pPr>
      <w:r>
        <w:rPr>
          <w:rStyle w:val="10"/>
          <w:rFonts w:hint="eastAsia"/>
          <w:lang w:val="en-US" w:eastAsia="zh-CN"/>
        </w:rPr>
        <w:t>6.</w:t>
      </w:r>
      <w:r>
        <w:rPr>
          <w:rStyle w:val="10"/>
          <w:rFonts w:hint="eastAsia" w:eastAsia="方正楷体_GBK"/>
          <w:lang w:eastAsia="zh-CN"/>
        </w:rPr>
        <w:t>尾款拨付</w:t>
      </w:r>
      <w:r>
        <w:rPr>
          <w:rStyle w:val="10"/>
          <w:rFonts w:hint="eastAsia"/>
        </w:rPr>
        <w:t>。</w:t>
      </w:r>
      <w:r>
        <w:rPr>
          <w:rStyle w:val="10"/>
          <w:rFonts w:hint="eastAsia" w:ascii="仿宋_GB2312" w:hAnsi="仿宋_GB2312" w:eastAsia="仿宋_GB2312" w:cs="仿宋_GB2312"/>
          <w:b w:val="0"/>
          <w:bCs w:val="0"/>
          <w:lang w:eastAsia="zh-CN"/>
        </w:rPr>
        <w:t>县</w:t>
      </w:r>
      <w:r>
        <w:rPr>
          <w:rFonts w:hint="eastAsia"/>
        </w:rPr>
        <w:t>财政部门按照审价报告</w:t>
      </w:r>
      <w:r>
        <w:rPr>
          <w:rFonts w:hint="eastAsia"/>
          <w:lang w:eastAsia="zh-CN"/>
        </w:rPr>
        <w:t>结果，按规定程序，每半年将分摊比例的剩余资金指标下达县发改部门，由县发改部门</w:t>
      </w:r>
      <w:r>
        <w:rPr>
          <w:rFonts w:hint="eastAsia"/>
        </w:rPr>
        <w:t>拨付至供电公司指定账户。</w:t>
      </w:r>
    </w:p>
    <w:p>
      <w:pPr>
        <w:pStyle w:val="3"/>
        <w:bidi w:val="0"/>
        <w:rPr>
          <w:rFonts w:hint="eastAsia"/>
        </w:rPr>
      </w:pPr>
      <w:r>
        <w:rPr>
          <w:rFonts w:hint="eastAsia"/>
          <w:lang w:eastAsia="zh-CN"/>
        </w:rPr>
        <w:t>五、</w:t>
      </w:r>
      <w:r>
        <w:rPr>
          <w:rFonts w:hint="eastAsia"/>
        </w:rPr>
        <w:t>特殊项目处理</w:t>
      </w:r>
    </w:p>
    <w:p>
      <w:pPr>
        <w:rPr>
          <w:rFonts w:hint="eastAsia"/>
        </w:rPr>
      </w:pPr>
      <w:r>
        <w:rPr>
          <w:rFonts w:hint="eastAsia"/>
        </w:rPr>
        <w:t>对于成片开发区域</w:t>
      </w:r>
      <w:r>
        <w:rPr>
          <w:rFonts w:hint="eastAsia"/>
          <w:lang w:eastAsia="zh-CN"/>
        </w:rPr>
        <w:t>、</w:t>
      </w:r>
      <w:r>
        <w:rPr>
          <w:rFonts w:hint="eastAsia"/>
        </w:rPr>
        <w:t>特殊用电需求及其他政府重点项目，由开发实施主体会同相关部门专题研究，根据本实施意见有关规定采用一事一议的方式明确电力接入费用方案。</w:t>
      </w:r>
    </w:p>
    <w:p>
      <w:pPr>
        <w:pStyle w:val="3"/>
        <w:bidi w:val="0"/>
        <w:rPr>
          <w:rFonts w:hint="eastAsia"/>
          <w:lang w:eastAsia="zh-CN"/>
        </w:rPr>
      </w:pPr>
      <w:r>
        <w:rPr>
          <w:rFonts w:hint="default"/>
        </w:rPr>
        <w:t>六</w:t>
      </w:r>
      <w:r>
        <w:rPr>
          <w:rFonts w:hint="eastAsia"/>
          <w:lang w:eastAsia="zh-CN"/>
        </w:rPr>
        <w:t>、资产处置及运维养护</w:t>
      </w:r>
    </w:p>
    <w:p>
      <w:pPr>
        <w:rPr>
          <w:rFonts w:hint="eastAsia"/>
        </w:rPr>
      </w:pPr>
      <w:r>
        <w:rPr>
          <w:rFonts w:hint="eastAsia"/>
        </w:rPr>
        <w:t>电力接入工程设施建成后，</w:t>
      </w:r>
      <w:r>
        <w:rPr>
          <w:rFonts w:hint="eastAsia"/>
          <w:lang w:eastAsia="zh-CN"/>
        </w:rPr>
        <w:t>所有</w:t>
      </w:r>
      <w:r>
        <w:rPr>
          <w:rFonts w:hint="eastAsia"/>
        </w:rPr>
        <w:t>项目无偿移交给供电公司，并于结算之日签订移交协议，设备后续维修养护费用由供电公司负责。</w:t>
      </w:r>
    </w:p>
    <w:p>
      <w:pPr>
        <w:pStyle w:val="3"/>
        <w:bidi w:val="0"/>
        <w:rPr>
          <w:rFonts w:hint="eastAsia"/>
        </w:rPr>
      </w:pPr>
      <w:r>
        <w:rPr>
          <w:rFonts w:hint="eastAsia"/>
          <w:lang w:eastAsia="zh-CN"/>
        </w:rPr>
        <w:t>七、</w:t>
      </w:r>
      <w:r>
        <w:rPr>
          <w:rFonts w:hint="eastAsia"/>
        </w:rPr>
        <w:t>附则</w:t>
      </w:r>
    </w:p>
    <w:p>
      <w:pPr>
        <w:rPr>
          <w:rFonts w:hint="eastAsia" w:eastAsia="仿宋_GB2312"/>
          <w:lang w:eastAsia="zh-CN"/>
        </w:rPr>
      </w:pPr>
      <w:r>
        <w:rPr>
          <w:rFonts w:hint="eastAsia"/>
        </w:rPr>
        <w:t>本实施意见自发文之日起执行，</w:t>
      </w:r>
      <w:r>
        <w:rPr>
          <w:rFonts w:hint="eastAsia"/>
          <w:lang w:eastAsia="zh-CN"/>
        </w:rPr>
        <w:t>试行期</w:t>
      </w:r>
      <w:r>
        <w:rPr>
          <w:rFonts w:hint="eastAsia"/>
        </w:rPr>
        <w:t>一年。</w:t>
      </w:r>
      <w:r>
        <w:rPr>
          <w:rFonts w:hint="eastAsia"/>
          <w:lang w:eastAsia="zh-CN"/>
        </w:rPr>
        <w:t>试行期满如无异议，则继续执行。若上级出台新文件要求，以上级最新文件为准。</w:t>
      </w:r>
    </w:p>
    <w:p>
      <w:pPr>
        <w:rPr>
          <w:rFonts w:hint="eastAsia"/>
        </w:rPr>
      </w:pPr>
    </w:p>
    <w:p>
      <w:pPr>
        <w:rPr>
          <w:rFonts w:hint="eastAsia"/>
        </w:rPr>
      </w:pPr>
    </w:p>
    <w:p>
      <w:pPr>
        <w:rPr>
          <w:rFonts w:hint="eastAsia"/>
        </w:rPr>
      </w:pPr>
      <w:r>
        <w:rPr>
          <w:rFonts w:hint="eastAsia"/>
        </w:rPr>
        <w:t>附件  电力接入工程范围</w:t>
      </w:r>
    </w:p>
    <w:p>
      <w:pPr>
        <w:rPr>
          <w:rFonts w:hint="eastAsia"/>
        </w:rPr>
      </w:pPr>
    </w:p>
    <w:p>
      <w:pPr>
        <w:rPr>
          <w:rFonts w:hint="eastAsia"/>
        </w:rPr>
        <w:sectPr>
          <w:footerReference r:id="rId5" w:type="default"/>
          <w:pgSz w:w="11906" w:h="16838"/>
          <w:pgMar w:top="1587" w:right="1531" w:bottom="1587" w:left="1531" w:header="851" w:footer="907" w:gutter="0"/>
          <w:pgNumType w:fmt="decimal"/>
          <w:cols w:space="0" w:num="1"/>
          <w:rtlGutter w:val="0"/>
          <w:docGrid w:type="lines" w:linePitch="440" w:charSpace="0"/>
        </w:sect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lang w:val="en-US" w:eastAsia="zh-CN"/>
        </w:rPr>
      </w:pPr>
      <w:r>
        <w:rPr>
          <w:rFonts w:hint="eastAsia"/>
          <w:lang w:val="en-US" w:eastAsia="zh-CN"/>
        </w:rPr>
        <w:t>附件</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电力接入工程范围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Style w:val="11"/>
          <w:rFonts w:hint="eastAsia"/>
          <w:lang w:val="en-US" w:eastAsia="zh-CN"/>
        </w:rPr>
        <w:t>低压接入类项目：</w:t>
      </w:r>
      <w:r>
        <w:rPr>
          <w:rFonts w:hint="eastAsia" w:ascii="仿宋_GB2312" w:eastAsia="仿宋_GB2312"/>
          <w:lang w:val="en-US" w:eastAsia="zh-CN"/>
        </w:rPr>
        <w:t>电力接入工程范围为计量箱至公共管网连接处的电力工程，以新上计量箱内电能表出线处为分界点，分界点电源侧供电设施属于电力接入工程范围，负荷侧受电设施由企业投资建设。示意图中蓝色部分代表电力接入工程范围，红色虚框代表建筑规划红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outlineLvl w:val="9"/>
        <w:rPr>
          <w:rFonts w:hint="eastAsia" w:eastAsiaTheme="minorEastAsia"/>
          <w:b/>
          <w:bCs/>
          <w:lang w:eastAsia="zh-CN"/>
        </w:rPr>
      </w:pPr>
      <w:r>
        <w:rPr>
          <w:rFonts w:hint="eastAsia" w:eastAsiaTheme="minorEastAsia"/>
          <w:b/>
          <w:bCs/>
          <w:lang w:eastAsia="zh-CN"/>
        </w:rPr>
        <w:drawing>
          <wp:inline distT="0" distB="0" distL="114300" distR="114300">
            <wp:extent cx="4203065" cy="2411730"/>
            <wp:effectExtent l="0" t="0" r="6985" b="7620"/>
            <wp:docPr id="7" name="图片 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1"/>
                    <pic:cNvPicPr>
                      <a:picLocks noChangeAspect="1"/>
                    </pic:cNvPicPr>
                  </pic:nvPicPr>
                  <pic:blipFill>
                    <a:blip r:embed="rId7"/>
                    <a:stretch>
                      <a:fillRect/>
                    </a:stretch>
                  </pic:blipFill>
                  <pic:spPr>
                    <a:xfrm>
                      <a:off x="0" y="0"/>
                      <a:ext cx="4203065" cy="241173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b w:val="0"/>
          <w:bCs w:val="0"/>
          <w:sz w:val="24"/>
          <w:szCs w:val="24"/>
          <w:lang w:val="en-US" w:eastAsia="zh-CN"/>
        </w:rPr>
      </w:pPr>
      <w:r>
        <w:rPr>
          <w:rFonts w:hint="eastAsia" w:ascii="仿宋_GB2312" w:eastAsia="仿宋_GB2312"/>
          <w:b w:val="0"/>
          <w:bCs w:val="0"/>
          <w:sz w:val="24"/>
          <w:szCs w:val="24"/>
          <w:lang w:val="en-US" w:eastAsia="zh-CN"/>
        </w:rPr>
        <w:t>（架空线接入类）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outlineLvl w:val="9"/>
        <w:rPr>
          <w:rFonts w:hint="eastAsia" w:eastAsiaTheme="minorEastAsia"/>
          <w:b/>
          <w:bCs/>
          <w:lang w:eastAsia="zh-CN"/>
        </w:rPr>
      </w:pPr>
      <w:r>
        <w:rPr>
          <w:rFonts w:hint="eastAsia" w:eastAsiaTheme="minorEastAsia"/>
          <w:b/>
          <w:bCs/>
          <w:lang w:eastAsia="zh-CN"/>
        </w:rPr>
        <w:drawing>
          <wp:inline distT="0" distB="0" distL="114300" distR="114300">
            <wp:extent cx="4135120" cy="2411730"/>
            <wp:effectExtent l="0" t="0" r="17780" b="7620"/>
            <wp:docPr id="8" name="图片 8"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2"/>
                    <pic:cNvPicPr>
                      <a:picLocks noChangeAspect="1"/>
                    </pic:cNvPicPr>
                  </pic:nvPicPr>
                  <pic:blipFill>
                    <a:blip r:embed="rId8"/>
                    <a:stretch>
                      <a:fillRect/>
                    </a:stretch>
                  </pic:blipFill>
                  <pic:spPr>
                    <a:xfrm>
                      <a:off x="0" y="0"/>
                      <a:ext cx="4135120" cy="241173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b w:val="0"/>
          <w:bCs w:val="0"/>
          <w:sz w:val="24"/>
          <w:szCs w:val="24"/>
          <w:lang w:eastAsia="zh-CN"/>
        </w:rPr>
      </w:pPr>
      <w:r>
        <w:rPr>
          <w:rFonts w:hint="eastAsia" w:ascii="仿宋_GB2312" w:eastAsia="仿宋_GB2312"/>
          <w:b w:val="0"/>
          <w:bCs w:val="0"/>
          <w:sz w:val="24"/>
          <w:szCs w:val="24"/>
          <w:lang w:val="en-US" w:eastAsia="zh-CN"/>
        </w:rPr>
        <w:t>（电缆接入类）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outlineLvl w:val="9"/>
        <w:rPr>
          <w:rFonts w:hint="eastAsia"/>
          <w:b w:val="0"/>
          <w:bCs w:val="0"/>
          <w:sz w:val="24"/>
          <w:szCs w:val="24"/>
          <w:lang w:val="en-US" w:eastAsia="zh-CN"/>
        </w:rPr>
      </w:pPr>
      <w:r>
        <w:rPr>
          <w:rFonts w:hint="eastAsia" w:eastAsia="仿宋_GB2312"/>
          <w:b w:val="0"/>
          <w:bCs w:val="0"/>
          <w:sz w:val="24"/>
          <w:szCs w:val="24"/>
          <w:lang w:eastAsia="zh-CN"/>
        </w:rPr>
        <w:t>图</w:t>
      </w:r>
      <w:r>
        <w:rPr>
          <w:rFonts w:hint="eastAsia" w:ascii="仿宋_GB2312" w:eastAsia="仿宋_GB2312"/>
          <w:b w:val="0"/>
          <w:bCs w:val="0"/>
          <w:sz w:val="24"/>
          <w:szCs w:val="24"/>
          <w:lang w:val="en-US" w:eastAsia="zh-CN"/>
        </w:rPr>
        <w:t>1  低压接入类项目电力接入工程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11"/>
          <w:rFonts w:hint="eastAsia"/>
          <w:lang w:val="en-US" w:eastAsia="zh-CN"/>
        </w:rPr>
      </w:pPr>
      <w:r>
        <w:rPr>
          <w:rStyle w:val="11"/>
          <w:rFonts w:hint="eastAsia"/>
          <w:lang w:val="en-US" w:eastAsia="zh-CN"/>
        </w:rPr>
        <w:t>高压类项目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Style w:val="10"/>
          <w:rFonts w:hint="eastAsia"/>
          <w:lang w:val="en-US" w:eastAsia="zh-CN"/>
        </w:rPr>
        <w:t>高压架空线路接入类项目，</w:t>
      </w:r>
      <w:r>
        <w:rPr>
          <w:rFonts w:hint="eastAsia" w:ascii="仿宋_GB2312" w:eastAsia="仿宋_GB2312"/>
          <w:lang w:val="en-US" w:eastAsia="zh-CN"/>
        </w:rPr>
        <w:t>电力接入工程范围为建筑规划红线处第一支持物至公共管网连接处的所有电力工程。以红线处第一支持物上跌落保险或者分界断路器为分界点，分界点电源侧供电设施（含跌落保险或者分界断路器）属于电力接入工程范围，负荷侧受电设施由企业投资建设。示意图中蓝色部分代表电力接入工程范围，红色虚框代表建筑规划红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drawing>
          <wp:inline distT="0" distB="0" distL="114300" distR="114300">
            <wp:extent cx="5269230" cy="3096260"/>
            <wp:effectExtent l="0" t="0" r="7620" b="8890"/>
            <wp:docPr id="4" name="图片 4" descr="新分界图3月21日（架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新分界图3月21日（架空）"/>
                    <pic:cNvPicPr>
                      <a:picLocks noChangeAspect="1"/>
                    </pic:cNvPicPr>
                  </pic:nvPicPr>
                  <pic:blipFill>
                    <a:blip r:embed="rId9"/>
                    <a:stretch>
                      <a:fillRect/>
                    </a:stretch>
                  </pic:blipFill>
                  <pic:spPr>
                    <a:xfrm>
                      <a:off x="0" y="0"/>
                      <a:ext cx="5269230" cy="3096260"/>
                    </a:xfrm>
                    <a:prstGeom prst="rect">
                      <a:avLst/>
                    </a:prstGeom>
                  </pic:spPr>
                </pic:pic>
              </a:graphicData>
            </a:graphic>
          </wp:inline>
        </w:drawing>
      </w:r>
    </w:p>
    <w:p>
      <w:pPr>
        <w:bidi w:val="0"/>
        <w:ind w:left="0" w:leftChars="0" w:firstLine="0" w:firstLineChars="0"/>
        <w:jc w:val="center"/>
        <w:rPr>
          <w:rFonts w:hint="eastAsia"/>
          <w:sz w:val="24"/>
          <w:szCs w:val="24"/>
          <w:lang w:val="en-US" w:eastAsia="zh-CN"/>
        </w:rPr>
      </w:pPr>
      <w:r>
        <w:rPr>
          <w:rFonts w:hint="eastAsia" w:eastAsia="仿宋_GB2312"/>
          <w:sz w:val="24"/>
          <w:szCs w:val="24"/>
          <w:lang w:eastAsia="zh-CN"/>
        </w:rPr>
        <w:t>图</w:t>
      </w:r>
      <w:r>
        <w:rPr>
          <w:rFonts w:hint="eastAsia" w:ascii="仿宋_GB2312" w:eastAsia="仿宋_GB2312"/>
          <w:sz w:val="24"/>
          <w:szCs w:val="24"/>
          <w:lang w:val="en-US" w:eastAsia="zh-CN"/>
        </w:rPr>
        <w:t>2  从架空线接入的高压类项目电力接入工程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Style w:val="10"/>
          <w:rFonts w:hint="eastAsia"/>
          <w:lang w:val="en-US" w:eastAsia="zh-CN"/>
        </w:rPr>
        <w:t>高压电缆线路接入类项目，</w:t>
      </w:r>
      <w:r>
        <w:rPr>
          <w:rFonts w:hint="eastAsia" w:ascii="仿宋_GB2312" w:eastAsia="仿宋_GB2312"/>
          <w:lang w:val="en-US" w:eastAsia="zh-CN"/>
        </w:rPr>
        <w:t>电力接入工程范围为建筑规划红线内新上开关（环网）站所、电缆分支箱等至公共管网连接处的所有电力工程。以新上开关（环网）站所、电缆分支箱等出线总开关下端头搭接处为分界点，分界点电源侧供电设施属于电力接入工程范围，负荷侧受电设施由企业投资建设。示意图中蓝色部分代表电力接入工程范围，红色虚框代表建筑规划红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center"/>
        <w:textAlignment w:val="auto"/>
        <w:outlineLvl w:val="9"/>
        <w:rPr>
          <w:rFonts w:hint="eastAsia"/>
          <w:b/>
          <w:bCs/>
          <w:lang w:val="en-US" w:eastAsia="zh-CN"/>
        </w:rPr>
      </w:pPr>
      <w:r>
        <w:rPr>
          <w:b/>
          <w:bCs/>
        </w:rPr>
        <w:drawing>
          <wp:inline distT="0" distB="0" distL="114300" distR="114300">
            <wp:extent cx="5373370" cy="3060065"/>
            <wp:effectExtent l="0" t="0" r="17780"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5373370" cy="3060065"/>
                    </a:xfrm>
                    <a:prstGeom prst="rect">
                      <a:avLst/>
                    </a:prstGeom>
                    <a:noFill/>
                    <a:ln w="9525">
                      <a:noFill/>
                    </a:ln>
                  </pic:spPr>
                </pic:pic>
              </a:graphicData>
            </a:graphic>
          </wp:inline>
        </w:drawing>
      </w:r>
    </w:p>
    <w:p>
      <w:pPr>
        <w:bidi w:val="0"/>
        <w:ind w:left="0" w:leftChars="0" w:firstLine="0" w:firstLineChars="0"/>
        <w:jc w:val="center"/>
        <w:rPr>
          <w:rFonts w:hint="eastAsia"/>
          <w:sz w:val="24"/>
          <w:szCs w:val="24"/>
          <w:lang w:val="en-US" w:eastAsia="zh-CN"/>
        </w:rPr>
      </w:pPr>
      <w:r>
        <w:rPr>
          <w:rFonts w:hint="eastAsia" w:eastAsia="仿宋_GB2312"/>
          <w:sz w:val="24"/>
          <w:szCs w:val="24"/>
          <w:lang w:eastAsia="zh-CN"/>
        </w:rPr>
        <w:t>图</w:t>
      </w:r>
      <w:r>
        <w:rPr>
          <w:rFonts w:hint="eastAsia" w:ascii="仿宋_GB2312" w:eastAsia="仿宋_GB2312"/>
          <w:sz w:val="24"/>
          <w:szCs w:val="24"/>
          <w:lang w:val="en-US" w:eastAsia="zh-CN"/>
        </w:rPr>
        <w:t>3  从开关（环网）站所接入的高压类项目电力接入工程</w:t>
      </w:r>
    </w:p>
    <w:p>
      <w:pPr>
        <w:ind w:left="0" w:leftChars="0" w:firstLine="0" w:firstLineChars="0"/>
      </w:pPr>
    </w:p>
    <w:p>
      <w:pPr>
        <w:ind w:left="0" w:leftChars="0" w:firstLine="0" w:firstLineChars="0"/>
        <w:sectPr>
          <w:pgSz w:w="11906" w:h="16838"/>
          <w:pgMar w:top="1587" w:right="1531" w:bottom="1587" w:left="1531" w:header="851" w:footer="992" w:gutter="0"/>
          <w:pgNumType w:fmt="decimal"/>
          <w:cols w:space="0" w:num="1"/>
          <w:rtlGutter w:val="0"/>
          <w:docGrid w:type="lines" w:linePitch="440" w:charSpace="0"/>
        </w:sectPr>
      </w:pPr>
    </w:p>
    <w:p>
      <w:pPr>
        <w:bidi w:val="0"/>
        <w:ind w:left="0" w:leftChars="0" w:firstLine="0" w:firstLineChars="0"/>
        <w:rPr>
          <w:rFonts w:hint="eastAsia" w:ascii="仿宋_GB2312" w:eastAsia="仿宋_GB2312"/>
          <w:lang w:val="en-US" w:eastAsia="zh-CN"/>
        </w:rPr>
      </w:pPr>
    </w:p>
    <w:sectPr>
      <w:pgSz w:w="11906" w:h="16838"/>
      <w:pgMar w:top="1587" w:right="1531" w:bottom="1587" w:left="1531" w:header="851" w:footer="850" w:gutter="0"/>
      <w:pgNumType w:fmt="decimal"/>
      <w:cols w:space="0" w:num="1"/>
      <w:rtlGutter w:val="0"/>
      <w:docGrid w:type="lines" w:linePitch="44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52"/>
                            </w:rPr>
                          </w:pPr>
                          <w:r>
                            <w:rPr>
                              <w:sz w:val="28"/>
                              <w:szCs w:val="52"/>
                            </w:rPr>
                            <w:t xml:space="preserve">— </w:t>
                          </w:r>
                          <w:r>
                            <w:rPr>
                              <w:sz w:val="28"/>
                              <w:szCs w:val="52"/>
                            </w:rPr>
                            <w:fldChar w:fldCharType="begin"/>
                          </w:r>
                          <w:r>
                            <w:rPr>
                              <w:sz w:val="28"/>
                              <w:szCs w:val="52"/>
                            </w:rPr>
                            <w:instrText xml:space="preserve"> PAGE  \* MERGEFORMAT </w:instrText>
                          </w:r>
                          <w:r>
                            <w:rPr>
                              <w:sz w:val="28"/>
                              <w:szCs w:val="52"/>
                            </w:rPr>
                            <w:fldChar w:fldCharType="separate"/>
                          </w:r>
                          <w:r>
                            <w:rPr>
                              <w:sz w:val="28"/>
                              <w:szCs w:val="52"/>
                            </w:rPr>
                            <w:t>1</w:t>
                          </w:r>
                          <w:r>
                            <w:rPr>
                              <w:sz w:val="28"/>
                              <w:szCs w:val="52"/>
                            </w:rPr>
                            <w:fldChar w:fldCharType="end"/>
                          </w:r>
                          <w:r>
                            <w:rPr>
                              <w:sz w:val="28"/>
                              <w:szCs w:val="5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sz w:val="28"/>
                        <w:szCs w:val="52"/>
                      </w:rPr>
                    </w:pPr>
                    <w:r>
                      <w:rPr>
                        <w:sz w:val="28"/>
                        <w:szCs w:val="52"/>
                      </w:rPr>
                      <w:t xml:space="preserve">— </w:t>
                    </w:r>
                    <w:r>
                      <w:rPr>
                        <w:sz w:val="28"/>
                        <w:szCs w:val="52"/>
                      </w:rPr>
                      <w:fldChar w:fldCharType="begin"/>
                    </w:r>
                    <w:r>
                      <w:rPr>
                        <w:sz w:val="28"/>
                        <w:szCs w:val="52"/>
                      </w:rPr>
                      <w:instrText xml:space="preserve"> PAGE  \* MERGEFORMAT </w:instrText>
                    </w:r>
                    <w:r>
                      <w:rPr>
                        <w:sz w:val="28"/>
                        <w:szCs w:val="52"/>
                      </w:rPr>
                      <w:fldChar w:fldCharType="separate"/>
                    </w:r>
                    <w:r>
                      <w:rPr>
                        <w:sz w:val="28"/>
                        <w:szCs w:val="52"/>
                      </w:rPr>
                      <w:t>1</w:t>
                    </w:r>
                    <w:r>
                      <w:rPr>
                        <w:sz w:val="28"/>
                        <w:szCs w:val="52"/>
                      </w:rPr>
                      <w:fldChar w:fldCharType="end"/>
                    </w:r>
                    <w:r>
                      <w:rPr>
                        <w:sz w:val="28"/>
                        <w:szCs w:val="5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5EB7A0DF"/>
    <w:rsid w:val="05C466A7"/>
    <w:rsid w:val="09025257"/>
    <w:rsid w:val="0CC87E5B"/>
    <w:rsid w:val="0FFD2940"/>
    <w:rsid w:val="120D30C8"/>
    <w:rsid w:val="19017814"/>
    <w:rsid w:val="1B6F874F"/>
    <w:rsid w:val="2DFFFBD5"/>
    <w:rsid w:val="2F9F3CA3"/>
    <w:rsid w:val="3D763CC0"/>
    <w:rsid w:val="3DFBBBFE"/>
    <w:rsid w:val="3EDF6C58"/>
    <w:rsid w:val="3EFF8BBE"/>
    <w:rsid w:val="3FDF3B3A"/>
    <w:rsid w:val="423B9F72"/>
    <w:rsid w:val="567B352F"/>
    <w:rsid w:val="5DEB72ED"/>
    <w:rsid w:val="5EB7A0DF"/>
    <w:rsid w:val="5FBE3F68"/>
    <w:rsid w:val="5FE215EC"/>
    <w:rsid w:val="6E9F34A3"/>
    <w:rsid w:val="6FEB9F07"/>
    <w:rsid w:val="70DF7AA7"/>
    <w:rsid w:val="70FF16B1"/>
    <w:rsid w:val="70FF6438"/>
    <w:rsid w:val="733718A9"/>
    <w:rsid w:val="76BF0233"/>
    <w:rsid w:val="79DE4AF8"/>
    <w:rsid w:val="79EABEE8"/>
    <w:rsid w:val="79EC459C"/>
    <w:rsid w:val="7A7C3669"/>
    <w:rsid w:val="7AD7DD3C"/>
    <w:rsid w:val="7B46B9B8"/>
    <w:rsid w:val="7C7EB2A8"/>
    <w:rsid w:val="7EEEC519"/>
    <w:rsid w:val="7F1F8B14"/>
    <w:rsid w:val="7F8E012F"/>
    <w:rsid w:val="7FACE5C3"/>
    <w:rsid w:val="7FAE8932"/>
    <w:rsid w:val="7FDF9129"/>
    <w:rsid w:val="7FF92EA6"/>
    <w:rsid w:val="9FD9B5A0"/>
    <w:rsid w:val="AB3A8011"/>
    <w:rsid w:val="B4EA0BCE"/>
    <w:rsid w:val="BAFE2B83"/>
    <w:rsid w:val="BFDE00CD"/>
    <w:rsid w:val="BFF7D024"/>
    <w:rsid w:val="C76F91B1"/>
    <w:rsid w:val="CB6B68D2"/>
    <w:rsid w:val="CF7FD341"/>
    <w:rsid w:val="CFAB6EB4"/>
    <w:rsid w:val="DBB74661"/>
    <w:rsid w:val="DCDF8FC1"/>
    <w:rsid w:val="DEDC82B2"/>
    <w:rsid w:val="DF772F17"/>
    <w:rsid w:val="DFEF0C87"/>
    <w:rsid w:val="DFFFF264"/>
    <w:rsid w:val="E3BEAB97"/>
    <w:rsid w:val="E9F8C570"/>
    <w:rsid w:val="EBFFBED9"/>
    <w:rsid w:val="EC8F09F1"/>
    <w:rsid w:val="ECDAFC73"/>
    <w:rsid w:val="EE83C1AD"/>
    <w:rsid w:val="EF9FB711"/>
    <w:rsid w:val="EFBEDD3E"/>
    <w:rsid w:val="F34F691C"/>
    <w:rsid w:val="F6574BBF"/>
    <w:rsid w:val="F7FF90B6"/>
    <w:rsid w:val="FBDF4A6B"/>
    <w:rsid w:val="FDBF6E04"/>
    <w:rsid w:val="FE7C9B19"/>
    <w:rsid w:val="FEBF95F0"/>
    <w:rsid w:val="FEFDC5BA"/>
    <w:rsid w:val="FF27CB64"/>
    <w:rsid w:val="FF9B27FD"/>
    <w:rsid w:val="FFBF1913"/>
    <w:rsid w:val="FFECC85F"/>
    <w:rsid w:val="FFF2DCEA"/>
    <w:rsid w:val="FFFB5AAC"/>
    <w:rsid w:val="FFFFC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spacing w:line="620" w:lineRule="exact"/>
      <w:ind w:firstLine="1512" w:firstLineChars="20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qFormat/>
    <w:uiPriority w:val="0"/>
    <w:pPr>
      <w:keepNext w:val="0"/>
      <w:keepLines w:val="0"/>
      <w:spacing w:beforeLines="0" w:beforeAutospacing="0" w:afterLines="0" w:afterAutospacing="0" w:line="620" w:lineRule="exact"/>
      <w:ind w:firstLine="0" w:firstLineChars="0"/>
      <w:jc w:val="center"/>
      <w:outlineLvl w:val="0"/>
    </w:pPr>
    <w:rPr>
      <w:rFonts w:ascii="方正小标宋_GBK" w:hAnsi="方正小标宋_GBK" w:eastAsia="方正小标宋_GBK" w:cs="方正小标宋_GBK"/>
      <w:kern w:val="44"/>
      <w:sz w:val="44"/>
      <w:szCs w:val="44"/>
    </w:rPr>
  </w:style>
  <w:style w:type="paragraph" w:styleId="3">
    <w:name w:val="heading 2"/>
    <w:basedOn w:val="1"/>
    <w:next w:val="1"/>
    <w:link w:val="11"/>
    <w:unhideWhenUsed/>
    <w:qFormat/>
    <w:uiPriority w:val="0"/>
    <w:pPr>
      <w:keepNext w:val="0"/>
      <w:keepLines w:val="0"/>
      <w:spacing w:beforeLines="0" w:beforeAutospacing="0" w:afterLines="0" w:afterAutospacing="0" w:line="620" w:lineRule="exact"/>
      <w:outlineLvl w:val="1"/>
    </w:pPr>
    <w:rPr>
      <w:rFonts w:ascii="黑体" w:hAnsi="黑体" w:eastAsia="黑体" w:cs="黑体"/>
    </w:rPr>
  </w:style>
  <w:style w:type="paragraph" w:styleId="4">
    <w:name w:val="heading 3"/>
    <w:basedOn w:val="1"/>
    <w:next w:val="1"/>
    <w:link w:val="10"/>
    <w:semiHidden/>
    <w:unhideWhenUsed/>
    <w:qFormat/>
    <w:uiPriority w:val="0"/>
    <w:pPr>
      <w:keepNext w:val="0"/>
      <w:keepLines w:val="0"/>
      <w:spacing w:beforeLines="0" w:beforeAutospacing="0" w:afterLines="0" w:afterAutospacing="0" w:line="620" w:lineRule="exact"/>
      <w:jc w:val="left"/>
      <w:outlineLvl w:val="2"/>
    </w:pPr>
    <w:rPr>
      <w:rFonts w:ascii="楷体" w:hAnsi="楷体" w:eastAsia="方正楷体_GBK" w:cs="方正楷体_GBK"/>
      <w:b/>
      <w:bCs/>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标题 3 Char"/>
    <w:link w:val="4"/>
    <w:qFormat/>
    <w:uiPriority w:val="0"/>
    <w:rPr>
      <w:rFonts w:ascii="楷体" w:hAnsi="楷体" w:eastAsia="方正楷体_GBK" w:cs="方正楷体_GBK"/>
      <w:b/>
      <w:bCs/>
    </w:rPr>
  </w:style>
  <w:style w:type="character" w:customStyle="1" w:styleId="11">
    <w:name w:val="标题 2 Char"/>
    <w:link w:val="3"/>
    <w:qFormat/>
    <w:uiPriority w:val="0"/>
    <w:rPr>
      <w:rFonts w:ascii="黑体" w:hAnsi="黑体" w:eastAsia="黑体" w:cs="黑体"/>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3050</Words>
  <Characters>3120</Characters>
  <Lines>0</Lines>
  <Paragraphs>0</Paragraphs>
  <TotalTime>75</TotalTime>
  <ScaleCrop>false</ScaleCrop>
  <LinksUpToDate>false</LinksUpToDate>
  <CharactersWithSpaces>3183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2022-05-30T10:53:00Z</dcterms:created>
  <dc:creator>greatwall</dc:creator>
  <cp:lastModifiedBy>零开始1397739712</cp:lastModifiedBy>
  <cp:lastPrinted>2022-08-25T08:27:00Z</cp:lastPrinted>
  <dcterms:modified xsi:type="dcterms:W3CDTF">2023-03-31T03:44:29Z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891099D439724FE2ABC016781BBEA6F1</vt:lpwstr>
  </property>
</Properties>
</file>