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方正小标宋_GBK" w:hAnsi="方正小标宋_GBK" w:eastAsia="方正小标宋_GBK" w:cs="方正小标宋_GBK"/>
          <w:i w:val="0"/>
          <w:iCs w:val="0"/>
          <w:caps w:val="0"/>
          <w:color w:val="484848"/>
          <w:spacing w:val="0"/>
          <w:sz w:val="44"/>
          <w:szCs w:val="44"/>
          <w:u w:val="none"/>
        </w:rPr>
      </w:pPr>
      <w:r>
        <w:rPr>
          <w:rFonts w:hint="eastAsia" w:ascii="仿宋" w:hAnsi="仿宋" w:eastAsia="仿宋" w:cs="仿宋"/>
          <w:i w:val="0"/>
          <w:iCs w:val="0"/>
          <w:caps w:val="0"/>
          <w:color w:val="484848"/>
          <w:spacing w:val="0"/>
          <w:sz w:val="32"/>
          <w:szCs w:val="32"/>
          <w:u w:val="none"/>
        </w:rPr>
        <w:t> </w:t>
      </w:r>
      <w:r>
        <w:rPr>
          <w:rStyle w:val="7"/>
          <w:rFonts w:hint="eastAsia" w:ascii="方正小标宋_GBK" w:hAnsi="方正小标宋_GBK" w:eastAsia="方正小标宋_GBK" w:cs="方正小标宋_GBK"/>
          <w:i w:val="0"/>
          <w:iCs w:val="0"/>
          <w:caps w:val="0"/>
          <w:color w:val="484848"/>
          <w:spacing w:val="0"/>
          <w:sz w:val="44"/>
          <w:szCs w:val="44"/>
          <w:u w:val="none"/>
        </w:rPr>
        <w:t>国家卫生城市和国家卫生县标准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本标准适用于创建国家卫生城市（包括地级及以上市、地区、自治州、盟和直辖市所辖区）和国家卫生县（包括县级市、县、自治县、旗、自治旗、林区、特区）的地方。标准中未作说明的均指建成区。</w:t>
      </w:r>
      <w:r>
        <w:rPr>
          <w:rFonts w:hint="eastAsia" w:ascii="仿宋_GB2312" w:hAnsi="仿宋_GB2312" w:eastAsia="仿宋_GB2312" w:cs="仿宋_GB2312"/>
          <w:i w:val="0"/>
          <w:iCs w:val="0"/>
          <w:caps w:val="0"/>
          <w:color w:val="484848"/>
          <w:spacing w:val="0"/>
          <w:sz w:val="32"/>
          <w:szCs w:val="32"/>
          <w:u w:val="none"/>
        </w:rPr>
        <w:br w:type="textWrapping"/>
      </w:r>
      <w:r>
        <w:rPr>
          <w:rFonts w:ascii="黑体" w:hAnsi="宋体" w:eastAsia="黑体" w:cs="黑体"/>
          <w:i w:val="0"/>
          <w:iCs w:val="0"/>
          <w:caps w:val="0"/>
          <w:color w:val="484848"/>
          <w:spacing w:val="0"/>
          <w:sz w:val="32"/>
          <w:szCs w:val="32"/>
          <w:u w:val="none"/>
        </w:rPr>
        <w:t>　　一、爱国卫生组织管理</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　（一）将爱国卫生工作纳入辖区各级党委和政府重要议事日程，列入经济社会发展规划，纳入政府绩效考核指标。具有立法权的地方需有本地爱国卫生法规，其他地方需有爱国卫生规范性文件。</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二）辖区内各级爱卫会组织健全，成员单位分工明确、职责落实。爱卫会办公室机构、职能、人员、经费等有保障。街道（乡镇）、社区（村）、机关、企事业单位要明确专兼职爱国卫生工作人员，村（居）民委员会要健全下属公共卫生委员会，推动落实好爱国卫生工作。</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三）爱国卫生工作年度有计划、有部署、有检查、有总结。开展基层卫生创建活动，鼓励辖区范围内的县和乡镇积极开展国家卫生县和国家卫生乡镇创建，逐步推进全域创建。广泛开展城乡群众性爱国卫生活动，各部门、各单位和广大群众积极参与。</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四）探索建立健康影响评估制度，推动将健康融入所有政策，把全生命周期健康管理理念贯穿城市规划、建设和管理全过程各环节。将应对突发公共卫生事件纳入国土空间规划和城市建设规划，并逐步建设完善相关设施。</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（五）畅通爱国卫生建议和投诉渠道，认真核实和解决群众反映的问题。群众对卫生状况满意。</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二、健康教育和健康促进</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六）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车站、机场、港口、广场和公园等公共场所设立的电子屏幕和公益广告等应当具有健康教育内容。</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七）辖区内积极开展健康县区、健康乡镇和健康村、健康社区、健康企业、健康机关、健康学校、健康促进医院、健康家庭等健康细胞建设。建设健康步道、健康主题公园等，推广“三减三健”等慢性病防控措施。</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八）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九）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积极推进控烟立法执法，逐步实现室内公共场所、工作场所和公共交通工具全面禁烟。</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三、市容环境卫生</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十）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一）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（十二）加强绿化工作，提高建成区绿化覆盖率和公园绿地面积，强化绿地管理。</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三）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四）推行生活垃圾分类和减量化、资源化。因地制宜加快建立生活垃圾分类投放、分类收集、分类运输、分类处理系统，实现生活垃圾分类有效覆盖。加强城市生活垃圾回收利用和无害化处理。建有港口的城市，应建立完善船舶污染物“船—港—城”“收集—接收—转运—处置”衔接和协作制度。</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五）积极推进厕所革命，公共厕所设置符合相关标准要求，数量充足，干净整洁，实现卫生厕所全覆盖。主次干道、车站、医疗机构、机场、港口、旅游景点、集贸市场、商场等公共场所的公厕设施不低于二类标准。生活污水有效收集处理。</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（十六）建成区和城乡</w:t>
      </w:r>
      <w:r>
        <w:rPr>
          <w:rFonts w:hint="eastAsia" w:ascii="仿宋_GB2312" w:hAnsi="仿宋_GB2312" w:eastAsia="仿宋_GB2312" w:cs="仿宋_GB2312"/>
          <w:i w:val="0"/>
          <w:iCs w:val="0"/>
          <w:caps w:val="0"/>
          <w:color w:val="484848"/>
          <w:spacing w:val="0"/>
          <w:sz w:val="32"/>
          <w:szCs w:val="32"/>
          <w:u w:val="none"/>
          <w:lang w:val="en-US" w:eastAsia="zh-CN"/>
        </w:rPr>
        <w:t>接</w:t>
      </w:r>
      <w:r>
        <w:rPr>
          <w:rFonts w:hint="eastAsia" w:ascii="仿宋_GB2312" w:hAnsi="仿宋_GB2312" w:eastAsia="仿宋_GB2312" w:cs="仿宋_GB2312"/>
          <w:i w:val="0"/>
          <w:iCs w:val="0"/>
          <w:caps w:val="0"/>
          <w:color w:val="484848"/>
          <w:spacing w:val="0"/>
          <w:sz w:val="32"/>
          <w:szCs w:val="32"/>
          <w:u w:val="none"/>
        </w:rPr>
        <w:t>合部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流动商贩管理规范。无使用厚度小于0.025毫米的超薄塑料购物袋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（十七）建成区和城乡</w:t>
      </w:r>
      <w:r>
        <w:rPr>
          <w:rFonts w:hint="eastAsia" w:ascii="仿宋_GB2312" w:hAnsi="仿宋_GB2312" w:eastAsia="仿宋_GB2312" w:cs="仿宋_GB2312"/>
          <w:i w:val="0"/>
          <w:iCs w:val="0"/>
          <w:caps w:val="0"/>
          <w:color w:val="484848"/>
          <w:spacing w:val="0"/>
          <w:sz w:val="32"/>
          <w:szCs w:val="32"/>
          <w:u w:val="none"/>
          <w:lang w:val="en-US" w:eastAsia="zh-CN"/>
        </w:rPr>
        <w:t>接</w:t>
      </w:r>
      <w:r>
        <w:rPr>
          <w:rFonts w:hint="eastAsia" w:ascii="仿宋_GB2312" w:hAnsi="仿宋_GB2312" w:eastAsia="仿宋_GB2312" w:cs="仿宋_GB2312"/>
          <w:i w:val="0"/>
          <w:iCs w:val="0"/>
          <w:caps w:val="0"/>
          <w:color w:val="484848"/>
          <w:spacing w:val="0"/>
          <w:sz w:val="32"/>
          <w:szCs w:val="32"/>
          <w:u w:val="none"/>
        </w:rPr>
        <w:t>合部饲养畜禽和野生动物需符合有关法律法规要求，居民文明规范饲养宠物，畜禽粪污得到有效处置；各类集贸市场、花鸟宠物市场及动物交易市场无非法交易和宰杀野生动物现象。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八）社区和单位建有卫生管理组织和相关制度，卫生状况良好，环卫设施完善，推行垃圾分类，垃圾及时清运，公共厕所符合卫生要求；道路平坦，绿化美化，无乱搭乱建、乱堆乱摆、乱停乱放、乱贴乱画、乱扔乱倒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（十九）城乡</w:t>
      </w:r>
      <w:r>
        <w:rPr>
          <w:rFonts w:hint="eastAsia" w:ascii="仿宋_GB2312" w:hAnsi="仿宋_GB2312" w:eastAsia="仿宋_GB2312" w:cs="仿宋_GB2312"/>
          <w:i w:val="0"/>
          <w:iCs w:val="0"/>
          <w:caps w:val="0"/>
          <w:color w:val="484848"/>
          <w:spacing w:val="0"/>
          <w:sz w:val="32"/>
          <w:szCs w:val="32"/>
          <w:u w:val="none"/>
          <w:lang w:val="en-US" w:eastAsia="zh-CN"/>
        </w:rPr>
        <w:t>接</w:t>
      </w:r>
      <w:r>
        <w:rPr>
          <w:rFonts w:hint="eastAsia" w:ascii="仿宋_GB2312" w:hAnsi="仿宋_GB2312" w:eastAsia="仿宋_GB2312" w:cs="仿宋_GB2312"/>
          <w:i w:val="0"/>
          <w:iCs w:val="0"/>
          <w:caps w:val="0"/>
          <w:color w:val="484848"/>
          <w:spacing w:val="0"/>
          <w:sz w:val="32"/>
          <w:szCs w:val="32"/>
          <w:u w:val="none"/>
        </w:rPr>
        <w:t>合部建有配套生活污水处理、排放设施和充足的垃圾收集站（点）</w:t>
      </w:r>
      <w:bookmarkStart w:id="0" w:name="_GoBack"/>
      <w:bookmarkEnd w:id="0"/>
      <w:r>
        <w:rPr>
          <w:rFonts w:hint="eastAsia" w:ascii="仿宋_GB2312" w:hAnsi="仿宋_GB2312" w:eastAsia="仿宋_GB2312" w:cs="仿宋_GB2312"/>
          <w:i w:val="0"/>
          <w:iCs w:val="0"/>
          <w:caps w:val="0"/>
          <w:color w:val="484848"/>
          <w:spacing w:val="0"/>
          <w:sz w:val="32"/>
          <w:szCs w:val="32"/>
          <w:u w:val="none"/>
        </w:rPr>
        <w:t>、再生资源回收站（点）、公共厕所等设施；卫生清扫保洁及时，日常管理规范，垃圾及时清运，普及卫生户厕；道路硬化平整，主要道路配备路灯；无乱搭乱建、乱堆乱摆、乱停乱放、乱贴乱画、乱扔乱倒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（二十）加强铁路沿线两侧环境卫生整治，铁路两侧500米范围内无露天堆放的彩钢瓦、塑料薄膜、防尘网等轻飘物品，铁路沿线安全保护区内无倾倒垃圾、排污等现象。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四、生态环境</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（二十一）近3年辖区内未发生重大环境污染和生态破坏事故。</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（二十二）加强大气污染治理，环境空气质量良好或持续改善。无烟囱排黑烟现象，无秸秆、垃圾露天焚烧现象。排放油烟的餐饮单位安装油烟净化装置并保持正常使用。</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（二十三）区域环境噪声控制良好，声功能区夜间环境质量达标。</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（二十四）各级水环境功能区全部达到要求，未划定功能区的水质不低于五类。无乱排污水现象，无黑臭水体。</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（二十五）集中式饮用水水源地水质达标。辖区内重点河湖主要控制断面生态流量达标。</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六）辖区内应建有符合条件的医疗废物集中处理设施，各类医疗废物处置能力应满足辖区内医疗卫生机构的处置需求。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五、重点场所卫生</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（二十七）公共场所实行卫生监督量化分级管理，公共场所卫生信誉度等级应向社会公示，并使用统一标识。卫生许可证件齐全有效，卫生管理规范，直接为顾客服务的人员取得有效健康合格证明。</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（二十八）小浴室、小美容美发店、小歌舞厅、小旅店等经营资格合法，室内外环境整洁，卫生管理、硬件设施符合相应国家标准要求。</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二十九）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（三十）中小学体育与健康课程开课率达标。中小学生每天校内体育活动时间充足。学校眼保健操普及率达标。中小学生近视率、肥胖率逐年下降。近3年辖区内无重大学校食物中毒事件。</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（三十一）辖区内存在职业病目录所列职业病危害因素的企业职业病危害项目及时申报。对接触职业病危害的劳动者依法进行职业健康检查。近3年辖区内未发生重大职业病危害事故。</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（三十二）旅客列车车厢、轮船客舱、飞机客舱和商场、超市等公共场所卫生检测结果符合国家相关标准要求。</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六、食品和生活饮用水安全</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（三十三）近3年辖区内未发生重大食品安全和饮用水安全事故，依法报告食品安全和饮用水安全事故信息。</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（三十四）加强小餐饮店、小食品店、小作坊管理，无固定经营场所的食品摊贩实行统一管理，规定区域、限定品种经营。无制售“三无”食品、假冒食品、劣质食品、过期食品等现象。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五）积极推行明厨亮灶和食品生产经营风险分级管理。从事接触直接入口食品工作的食品生产经营人员取得有效的健康合格证明。落实清洗消毒制度，防蝇防鼠等设施健全。食品生产经营单位严格执行国家相关标准。</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（三十六）辖区内积极推广分餐制和公筷制，大力倡导“光盘行动”。辖区内无贩卖、制售、食用野生动物现象。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（三十七）市政供水、自备供水、居民小区供水管理规范，供水单位有卫生许可证。二次供水符合国家相关标准要求。开展水质监测工作，采样点选择、检验项目和频率符合相关要求。</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七、疾病防控与医疗卫生服务</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w:t>
      </w:r>
      <w:r>
        <w:rPr>
          <w:rFonts w:hint="eastAsia" w:ascii="仿宋_GB2312" w:hAnsi="仿宋_GB2312" w:eastAsia="仿宋_GB2312" w:cs="仿宋_GB2312"/>
          <w:i w:val="0"/>
          <w:iCs w:val="0"/>
          <w:caps w:val="0"/>
          <w:color w:val="484848"/>
          <w:spacing w:val="0"/>
          <w:sz w:val="32"/>
          <w:szCs w:val="32"/>
          <w:u w:val="none"/>
        </w:rPr>
        <w:t>（三十八）建立与经济社会发展、财政状况和实现健康目标相适应的卫生健康事业投入机制。个人卫生支出占卫生总费用的比重持续降低。</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三十九）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近3年辖区内未发生重大实验室生物安全事故。</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多措并举降低孕产妇死亡率、婴儿死亡率和5岁以下儿童死亡率，持续提升人均预期寿命。按照国家免疫规划和当地预防接种工作计划，定期为适龄人群提供预防接种服务。提升妇幼健康服务能力，促进妇女儿童全面健康发展。推进医养结合服务。</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（四十一）重大慢性病过早死亡率呈下降趋势。健全重大事件处置中的社会心理健康监测预警机制，强化心理健康促进和心理疏导、危机干预。严重精神障碍患者管理规范。</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二）医疗卫生服务体系健全，机构建设符合国家标准要求，千人口的床位数、执业（助理）医师数、注册护士数、公共卫生人员数、药师（药士）数和万人口全科医生数等指标符合所在地区域卫生规划要求。</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三）推动机场、地铁站、火车站、公路（水路）客运站等交通枢纽以及学校、景区、机关单位、商场超市等重点行业、重点场所配置和使用自动体外心脏除颤仪(AED)等医疗急救设备和药品。对公安、消防、安保、交通和教育等重点行业人群开展急救知识与技能培训，引导全社会逐步提高全民急救能力。</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（四十四）构建和谐医患关系，医疗卫生人员具备安全的工作条件，执业环境逐步改善。辖区内无重特大刑事伤医案件。临床用血来自自愿无偿献血。无无证行医、非法采供血和非法医疗广告。</w:t>
      </w:r>
      <w:r>
        <w:rPr>
          <w:rFonts w:hint="eastAsia" w:ascii="仿宋_GB2312" w:hAnsi="仿宋_GB2312" w:eastAsia="仿宋_GB2312" w:cs="仿宋_GB2312"/>
          <w:i w:val="0"/>
          <w:iCs w:val="0"/>
          <w:caps w:val="0"/>
          <w:color w:val="484848"/>
          <w:spacing w:val="0"/>
          <w:sz w:val="32"/>
          <w:szCs w:val="32"/>
          <w:u w:val="none"/>
        </w:rPr>
        <w:br w:type="textWrapping"/>
      </w:r>
      <w:r>
        <w:rPr>
          <w:rFonts w:hint="eastAsia" w:ascii="仿宋_GB2312" w:hAnsi="仿宋_GB2312" w:eastAsia="仿宋_GB2312" w:cs="仿宋_GB2312"/>
          <w:i w:val="0"/>
          <w:iCs w:val="0"/>
          <w:caps w:val="0"/>
          <w:color w:val="484848"/>
          <w:spacing w:val="0"/>
          <w:sz w:val="32"/>
          <w:szCs w:val="32"/>
          <w:u w:val="none"/>
        </w:rPr>
        <w:t>　　（四十五）建立政府组织和全社会参与的病媒生物预防控制机制。掌握辖区病媒生物孳生地情况、密度变化和侵害状况。湖泊、河流、沟渠、景观水体、小型积水、垃圾、厕所等各类孳生环境得到有效治理，鼠、蚊、蝇、蟑螂的密度达标。重点行业和单位防蝇和防鼠设施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Style w:val="7"/>
          <w:rFonts w:hint="eastAsia" w:ascii="微软雅黑" w:hAnsi="微软雅黑" w:eastAsia="微软雅黑" w:cs="微软雅黑"/>
          <w:i w:val="0"/>
          <w:iCs w:val="0"/>
          <w:caps w:val="0"/>
          <w:color w:val="484848"/>
          <w:spacing w:val="0"/>
          <w:sz w:val="44"/>
          <w:szCs w:val="44"/>
          <w:u w:val="none"/>
          <w:lang w:val="en-US" w:eastAsia="zh-CN"/>
        </w:rPr>
      </w:pPr>
      <w:r>
        <w:rPr>
          <w:rStyle w:val="7"/>
          <w:rFonts w:hint="eastAsia" w:ascii="微软雅黑" w:hAnsi="微软雅黑" w:eastAsia="微软雅黑" w:cs="微软雅黑"/>
          <w:i w:val="0"/>
          <w:iCs w:val="0"/>
          <w:caps w:val="0"/>
          <w:color w:val="484848"/>
          <w:spacing w:val="0"/>
          <w:sz w:val="44"/>
          <w:szCs w:val="44"/>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Style w:val="7"/>
          <w:rFonts w:hint="eastAsia" w:ascii="微软雅黑" w:hAnsi="微软雅黑" w:eastAsia="微软雅黑" w:cs="微软雅黑"/>
          <w:i w:val="0"/>
          <w:iCs w:val="0"/>
          <w:caps w:val="0"/>
          <w:color w:val="484848"/>
          <w:spacing w:val="0"/>
          <w:sz w:val="44"/>
          <w:szCs w:val="44"/>
          <w:u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方正小标宋_GBK" w:hAnsi="方正小标宋_GBK" w:eastAsia="方正小标宋_GBK" w:cs="方正小标宋_GBK"/>
          <w:i w:val="0"/>
          <w:iCs w:val="0"/>
          <w:caps w:val="0"/>
          <w:color w:val="484848"/>
          <w:spacing w:val="0"/>
          <w:sz w:val="44"/>
          <w:szCs w:val="44"/>
          <w:u w:val="none"/>
        </w:rPr>
      </w:pPr>
      <w:r>
        <w:rPr>
          <w:rStyle w:val="7"/>
          <w:rFonts w:hint="eastAsia" w:ascii="方正小标宋_GBK" w:hAnsi="方正小标宋_GBK" w:eastAsia="方正小标宋_GBK" w:cs="方正小标宋_GBK"/>
          <w:i w:val="0"/>
          <w:iCs w:val="0"/>
          <w:caps w:val="0"/>
          <w:color w:val="484848"/>
          <w:spacing w:val="0"/>
          <w:sz w:val="44"/>
          <w:szCs w:val="44"/>
          <w:u w:val="none"/>
        </w:rPr>
        <w:t>国家卫生城市和国家卫生县数据评价指标</w:t>
      </w: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6"/>
        <w:gridCol w:w="3741"/>
        <w:gridCol w:w="2341"/>
        <w:gridCol w:w="16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ascii="Calibri" w:hAnsi="Calibri" w:cs="Calibri"/>
                <w:color w:val="484848"/>
                <w:sz w:val="21"/>
                <w:szCs w:val="21"/>
                <w:u w:val="none"/>
              </w:rPr>
            </w:pPr>
            <w:r>
              <w:rPr>
                <w:rFonts w:hint="eastAsia" w:ascii="仿宋" w:hAnsi="仿宋" w:eastAsia="仿宋" w:cs="仿宋"/>
                <w:b/>
                <w:bCs/>
                <w:color w:val="484848"/>
                <w:sz w:val="32"/>
                <w:szCs w:val="32"/>
                <w:u w:val="none"/>
              </w:rPr>
              <w:t>序号</w:t>
            </w:r>
          </w:p>
        </w:tc>
        <w:tc>
          <w:tcPr>
            <w:tcW w:w="64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评价指标</w:t>
            </w:r>
          </w:p>
        </w:tc>
        <w:tc>
          <w:tcPr>
            <w:tcW w:w="36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目标值</w:t>
            </w:r>
          </w:p>
        </w:tc>
        <w:tc>
          <w:tcPr>
            <w:tcW w:w="2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国家卫生县或国家卫生乡镇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w:t>
            </w:r>
            <w:r>
              <w:rPr>
                <w:rFonts w:hint="eastAsia" w:ascii="仿宋" w:hAnsi="仿宋" w:eastAsia="仿宋" w:cs="仿宋"/>
                <w:color w:val="484848"/>
                <w:sz w:val="32"/>
                <w:szCs w:val="32"/>
                <w:u w:val="none"/>
              </w:rPr>
              <w:t>个</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申报国家卫生城市的统计国家卫生县；申报国家卫生县的统计国家卫生乡镇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群众对卫生状况满意率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居民健康素养水平</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23%</w:t>
            </w:r>
            <w:r>
              <w:rPr>
                <w:rFonts w:hint="eastAsia" w:ascii="仿宋" w:hAnsi="仿宋" w:eastAsia="仿宋" w:cs="仿宋"/>
                <w:color w:val="484848"/>
                <w:sz w:val="32"/>
                <w:szCs w:val="32"/>
                <w:u w:val="none"/>
              </w:rPr>
              <w:t>或持续提升</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建有全民健身场地设施的社区比例</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经常参加体育锻炼人数的比例</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w:t>
            </w:r>
            <w:r>
              <w:rPr>
                <w:rFonts w:hint="eastAsia" w:ascii="仿宋" w:hAnsi="仿宋" w:eastAsia="仿宋" w:cs="仿宋"/>
                <w:color w:val="484848"/>
                <w:sz w:val="32"/>
                <w:szCs w:val="32"/>
                <w:u w:val="none"/>
              </w:rPr>
              <w:t>38.5%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人均体育场地面积</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w:t>
            </w:r>
            <w:r>
              <w:rPr>
                <w:rFonts w:hint="eastAsia" w:ascii="仿宋" w:hAnsi="仿宋" w:eastAsia="仿宋" w:cs="仿宋"/>
                <w:color w:val="484848"/>
                <w:sz w:val="32"/>
                <w:szCs w:val="32"/>
                <w:u w:val="none"/>
              </w:rPr>
              <w:t>2.2平方米</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7</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每千人口社会体育指导员数</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2.16</w:t>
            </w:r>
            <w:r>
              <w:rPr>
                <w:rFonts w:hint="eastAsia" w:ascii="仿宋" w:hAnsi="仿宋" w:eastAsia="仿宋" w:cs="仿宋"/>
                <w:color w:val="484848"/>
                <w:sz w:val="32"/>
                <w:szCs w:val="32"/>
                <w:u w:val="none"/>
              </w:rPr>
              <w:t>名</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8</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15岁以上人群吸烟率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20%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9</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无烟党政机关、无烟医疗卫生机构、无烟学校建成比例</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全面控烟法律法规规定</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有</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国家卫生县出台规范性文件或被市级全面控烟法律法规规定覆盖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道路装灯率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主次干道每日保洁时间</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16</w:t>
            </w:r>
            <w:r>
              <w:rPr>
                <w:rFonts w:hint="eastAsia" w:ascii="仿宋" w:hAnsi="仿宋" w:eastAsia="仿宋" w:cs="仿宋"/>
                <w:color w:val="484848"/>
                <w:sz w:val="32"/>
                <w:szCs w:val="32"/>
                <w:u w:val="none"/>
              </w:rPr>
              <w:t>小时</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街巷路面每日保洁时间</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12</w:t>
            </w:r>
            <w:r>
              <w:rPr>
                <w:rFonts w:hint="eastAsia" w:ascii="仿宋" w:hAnsi="仿宋" w:eastAsia="仿宋" w:cs="仿宋"/>
                <w:color w:val="484848"/>
                <w:sz w:val="32"/>
                <w:szCs w:val="32"/>
                <w:u w:val="none"/>
              </w:rPr>
              <w:t>小时</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道路机械化清扫率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80%</w:t>
            </w:r>
          </w:p>
        </w:tc>
        <w:tc>
          <w:tcPr>
            <w:tcW w:w="26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本指标适用于城市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城市管理信息化覆盖率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建成区绿化覆盖率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38</w:t>
            </w:r>
            <w:r>
              <w:rPr>
                <w:rFonts w:hint="eastAsia" w:ascii="仿宋" w:hAnsi="仿宋" w:eastAsia="仿宋" w:cs="仿宋"/>
                <w:color w:val="484848"/>
                <w:sz w:val="32"/>
                <w:szCs w:val="32"/>
                <w:u w:val="none"/>
              </w:rPr>
              <w:t>％</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17</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人均公园绿地面积</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w:t>
            </w:r>
            <w:r>
              <w:rPr>
                <w:rFonts w:hint="eastAsia" w:ascii="仿宋" w:hAnsi="仿宋" w:eastAsia="仿宋" w:cs="仿宋"/>
                <w:color w:val="484848"/>
                <w:sz w:val="32"/>
                <w:szCs w:val="32"/>
                <w:u w:val="none"/>
              </w:rPr>
              <w:t>平方米</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18</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城市生活垃圾回收利用率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&gt;35％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19</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城市生活垃圾无害化处理率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20</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窨井盖完好率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98%</w:t>
            </w:r>
          </w:p>
        </w:tc>
        <w:tc>
          <w:tcPr>
            <w:tcW w:w="26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本指标适用于城市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主城区回收网点覆盖率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城市生活污水集中收集率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75%</w:t>
            </w:r>
            <w:r>
              <w:rPr>
                <w:rFonts w:hint="eastAsia" w:ascii="仿宋" w:hAnsi="仿宋" w:eastAsia="仿宋" w:cs="仿宋"/>
                <w:color w:val="484848"/>
                <w:sz w:val="32"/>
                <w:szCs w:val="32"/>
                <w:u w:val="none"/>
              </w:rPr>
              <w:t>或持续提高</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本指标适用于城市，县采用城市生活污水处理率，目标值为</w:t>
            </w:r>
            <w:r>
              <w:rPr>
                <w:rFonts w:hint="eastAsia" w:ascii="微软雅黑" w:hAnsi="微软雅黑" w:eastAsia="微软雅黑" w:cs="微软雅黑"/>
                <w:color w:val="484848"/>
                <w:sz w:val="32"/>
                <w:szCs w:val="32"/>
                <w:u w:val="none"/>
              </w:rPr>
              <w:t>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环境空气质量指数（</w:t>
            </w:r>
            <w:r>
              <w:rPr>
                <w:rFonts w:hint="eastAsia" w:ascii="微软雅黑" w:hAnsi="微软雅黑" w:eastAsia="微软雅黑" w:cs="微软雅黑"/>
                <w:color w:val="484848"/>
                <w:sz w:val="32"/>
                <w:szCs w:val="32"/>
                <w:u w:val="none"/>
              </w:rPr>
              <w:t>AQI</w:t>
            </w:r>
            <w:r>
              <w:rPr>
                <w:rFonts w:hint="eastAsia" w:ascii="仿宋" w:hAnsi="仿宋" w:eastAsia="仿宋" w:cs="仿宋"/>
                <w:color w:val="484848"/>
                <w:sz w:val="32"/>
                <w:szCs w:val="32"/>
                <w:u w:val="none"/>
              </w:rPr>
              <w:t>）不超过</w:t>
            </w:r>
            <w:r>
              <w:rPr>
                <w:rFonts w:hint="eastAsia" w:ascii="微软雅黑" w:hAnsi="微软雅黑" w:eastAsia="微软雅黑" w:cs="微软雅黑"/>
                <w:color w:val="484848"/>
                <w:sz w:val="32"/>
                <w:szCs w:val="32"/>
                <w:u w:val="none"/>
              </w:rPr>
              <w:t>100</w:t>
            </w:r>
            <w:r>
              <w:rPr>
                <w:rFonts w:hint="eastAsia" w:ascii="仿宋" w:hAnsi="仿宋" w:eastAsia="仿宋" w:cs="仿宋"/>
                <w:color w:val="484848"/>
                <w:sz w:val="32"/>
                <w:szCs w:val="32"/>
                <w:u w:val="none"/>
              </w:rPr>
              <w:t>的天数</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320</w:t>
            </w:r>
            <w:r>
              <w:rPr>
                <w:rFonts w:hint="eastAsia" w:ascii="仿宋" w:hAnsi="仿宋" w:eastAsia="仿宋" w:cs="仿宋"/>
                <w:color w:val="484848"/>
                <w:sz w:val="32"/>
                <w:szCs w:val="32"/>
                <w:u w:val="none"/>
              </w:rPr>
              <w:t>天或持续改善</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县目标值为≥</w:t>
            </w:r>
            <w:r>
              <w:rPr>
                <w:rFonts w:hint="eastAsia" w:ascii="微软雅黑" w:hAnsi="微软雅黑" w:eastAsia="微软雅黑" w:cs="微软雅黑"/>
                <w:color w:val="484848"/>
                <w:sz w:val="32"/>
                <w:szCs w:val="32"/>
                <w:u w:val="none"/>
              </w:rPr>
              <w:t>300</w:t>
            </w:r>
            <w:r>
              <w:rPr>
                <w:rFonts w:hint="eastAsia" w:ascii="仿宋" w:hAnsi="仿宋" w:eastAsia="仿宋" w:cs="仿宋"/>
                <w:color w:val="484848"/>
                <w:sz w:val="32"/>
                <w:szCs w:val="32"/>
                <w:u w:val="none"/>
              </w:rPr>
              <w:t>天或持续改善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环境空气主要污染物年均值</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达到国家《环境空气质量标准》二级标准</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区域环境噪声控制平均值</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55</w:t>
            </w:r>
            <w:r>
              <w:rPr>
                <w:rFonts w:hint="eastAsia" w:ascii="仿宋" w:hAnsi="仿宋" w:eastAsia="仿宋" w:cs="仿宋"/>
                <w:color w:val="484848"/>
                <w:sz w:val="32"/>
                <w:szCs w:val="32"/>
                <w:u w:val="none"/>
              </w:rPr>
              <w:t>分贝</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声功能区环境质量夜间达标率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000000"/>
                <w:sz w:val="32"/>
                <w:szCs w:val="32"/>
                <w:u w:val="none"/>
              </w:rPr>
              <w:t>75％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27</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集中式饮用水水源地水质达标率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28</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医疗废物无害化处置率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29</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学校校医或专（兼）职保健教师</w:t>
            </w:r>
            <w:r>
              <w:rPr>
                <w:rFonts w:hint="eastAsia" w:ascii="微软雅黑" w:hAnsi="微软雅黑" w:eastAsia="微软雅黑" w:cs="微软雅黑"/>
                <w:color w:val="000000"/>
                <w:sz w:val="32"/>
                <w:szCs w:val="32"/>
                <w:u w:val="none"/>
              </w:rPr>
              <w:t>配备比率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&gt;70％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30</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中小学体育与健康课程开课率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中小学生每天校内体育活动时间</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w:t>
            </w:r>
            <w:r>
              <w:rPr>
                <w:rFonts w:hint="eastAsia" w:ascii="仿宋" w:hAnsi="仿宋" w:eastAsia="仿宋" w:cs="仿宋"/>
                <w:color w:val="484848"/>
                <w:sz w:val="32"/>
                <w:szCs w:val="32"/>
                <w:u w:val="none"/>
              </w:rPr>
              <w:t>小时</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学校眼保健操普及率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中小学生近视率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逐年下降</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中小学生肥胖率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逐年下降</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存在职业病目录所列职业病危害因素的企业职业病危害项目申报率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食品生产经营风险分级管理率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000000"/>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37</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个人卫生支出占卫生总费用的比重</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25%</w:t>
            </w:r>
            <w:r>
              <w:rPr>
                <w:rFonts w:hint="eastAsia" w:ascii="仿宋" w:hAnsi="仿宋" w:eastAsia="仿宋" w:cs="仿宋"/>
                <w:color w:val="484848"/>
                <w:sz w:val="32"/>
                <w:szCs w:val="32"/>
                <w:u w:val="none"/>
              </w:rPr>
              <w:t>或持续降低</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38</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甲、乙类法定传染病报告发病率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不高于近</w:t>
            </w:r>
            <w:r>
              <w:rPr>
                <w:rFonts w:hint="eastAsia" w:ascii="微软雅黑" w:hAnsi="微软雅黑" w:eastAsia="微软雅黑" w:cs="微软雅黑"/>
                <w:color w:val="484848"/>
                <w:sz w:val="32"/>
                <w:szCs w:val="32"/>
                <w:u w:val="none"/>
              </w:rPr>
              <w:t>5</w:t>
            </w:r>
            <w:r>
              <w:rPr>
                <w:rFonts w:hint="eastAsia" w:ascii="仿宋" w:hAnsi="仿宋" w:eastAsia="仿宋" w:cs="仿宋"/>
                <w:color w:val="484848"/>
                <w:sz w:val="32"/>
                <w:szCs w:val="32"/>
                <w:u w:val="none"/>
              </w:rPr>
              <w:t>年平均水平</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39</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婴儿死亡率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5.6</w:t>
            </w:r>
            <w:r>
              <w:rPr>
                <w:rFonts w:hint="eastAsia" w:ascii="仿宋" w:hAnsi="仿宋" w:eastAsia="仿宋" w:cs="仿宋"/>
                <w:color w:val="484848"/>
                <w:sz w:val="32"/>
                <w:szCs w:val="32"/>
                <w:u w:val="none"/>
              </w:rPr>
              <w:t>‰或持续降低</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40</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5岁以下儿童死亡率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7.8</w:t>
            </w:r>
            <w:r>
              <w:rPr>
                <w:rFonts w:hint="eastAsia" w:ascii="仿宋" w:hAnsi="仿宋" w:eastAsia="仿宋" w:cs="仿宋"/>
                <w:color w:val="484848"/>
                <w:sz w:val="32"/>
                <w:szCs w:val="32"/>
                <w:u w:val="none"/>
              </w:rPr>
              <w:t>‰或持续降低</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孕产妇死亡率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18/10</w:t>
            </w:r>
            <w:r>
              <w:rPr>
                <w:rFonts w:hint="eastAsia" w:ascii="仿宋" w:hAnsi="仿宋" w:eastAsia="仿宋" w:cs="仿宋"/>
                <w:color w:val="484848"/>
                <w:sz w:val="32"/>
                <w:szCs w:val="32"/>
                <w:u w:val="none"/>
              </w:rPr>
              <w:t>万或持续降低</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人均预期寿命</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78.3</w:t>
            </w:r>
            <w:r>
              <w:rPr>
                <w:rFonts w:hint="eastAsia" w:ascii="仿宋" w:hAnsi="仿宋" w:eastAsia="仿宋" w:cs="仿宋"/>
                <w:color w:val="484848"/>
                <w:sz w:val="32"/>
                <w:szCs w:val="32"/>
                <w:u w:val="none"/>
              </w:rPr>
              <w:t>岁或逐年提高</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以街道（乡、镇）为单位适龄儿童免疫规划疫苗接种率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居住满</w:t>
            </w:r>
            <w:r>
              <w:rPr>
                <w:rFonts w:hint="eastAsia" w:ascii="微软雅黑" w:hAnsi="微软雅黑" w:eastAsia="微软雅黑" w:cs="微软雅黑"/>
                <w:color w:val="484848"/>
                <w:sz w:val="32"/>
                <w:szCs w:val="32"/>
                <w:u w:val="none"/>
              </w:rPr>
              <w:t>3</w:t>
            </w:r>
            <w:r>
              <w:rPr>
                <w:rFonts w:hint="eastAsia" w:ascii="仿宋" w:hAnsi="仿宋" w:eastAsia="仿宋" w:cs="仿宋"/>
                <w:color w:val="484848"/>
                <w:sz w:val="32"/>
                <w:szCs w:val="32"/>
                <w:u w:val="none"/>
              </w:rPr>
              <w:t>个月以上的适龄儿童建卡、建证率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辖区内</w:t>
            </w:r>
            <w:r>
              <w:rPr>
                <w:rFonts w:hint="eastAsia" w:ascii="微软雅黑" w:hAnsi="微软雅黑" w:eastAsia="微软雅黑" w:cs="微软雅黑"/>
                <w:color w:val="484848"/>
                <w:sz w:val="32"/>
                <w:szCs w:val="32"/>
                <w:u w:val="none"/>
              </w:rPr>
              <w:t>3</w:t>
            </w:r>
            <w:r>
              <w:rPr>
                <w:rFonts w:hint="eastAsia" w:ascii="仿宋" w:hAnsi="仿宋" w:eastAsia="仿宋" w:cs="仿宋"/>
                <w:color w:val="000000"/>
                <w:sz w:val="32"/>
                <w:szCs w:val="32"/>
                <w:u w:val="none"/>
              </w:rPr>
              <w:t>岁以下儿童系统管理率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w:t>
            </w:r>
            <w:r>
              <w:rPr>
                <w:rFonts w:hint="eastAsia" w:ascii="微软雅黑" w:hAnsi="微软雅黑" w:eastAsia="微软雅黑" w:cs="微软雅黑"/>
                <w:color w:val="484848"/>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0-6岁儿童眼保健和视力检查率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w:t>
            </w:r>
            <w:r>
              <w:rPr>
                <w:rFonts w:hint="eastAsia" w:ascii="微软雅黑" w:hAnsi="微软雅黑" w:eastAsia="微软雅黑" w:cs="微软雅黑"/>
                <w:color w:val="484848"/>
                <w:sz w:val="32"/>
                <w:szCs w:val="32"/>
                <w:u w:val="none"/>
              </w:rPr>
              <w:t>90%</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47</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重大慢性病过早死亡率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呈下降趋势</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48</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严重精神障碍患者规范管理率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85%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49</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每千常住人口医疗卫生机构床位数</w:t>
            </w:r>
          </w:p>
        </w:tc>
        <w:tc>
          <w:tcPr>
            <w:tcW w:w="36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符合所在地区域卫生规划要求</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50</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每千常住人口执业（助理）医师数</w:t>
            </w:r>
          </w:p>
        </w:tc>
        <w:tc>
          <w:tcPr>
            <w:tcW w:w="36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51</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每千常住人口注册护士数</w:t>
            </w:r>
          </w:p>
        </w:tc>
        <w:tc>
          <w:tcPr>
            <w:tcW w:w="36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52</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每千常住人口公共卫生人员数</w:t>
            </w:r>
          </w:p>
        </w:tc>
        <w:tc>
          <w:tcPr>
            <w:tcW w:w="36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53</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每千常住人口药师（药士）数</w:t>
            </w:r>
          </w:p>
        </w:tc>
        <w:tc>
          <w:tcPr>
            <w:tcW w:w="36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54</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每万常住人口全科医生数</w:t>
            </w:r>
          </w:p>
        </w:tc>
        <w:tc>
          <w:tcPr>
            <w:tcW w:w="36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55</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建成区鼠、蚊、蝇、蟑螂的密度</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达到国家病媒生物密度控制水平标准</w:t>
            </w:r>
            <w:r>
              <w:rPr>
                <w:rFonts w:hint="eastAsia" w:ascii="微软雅黑" w:hAnsi="微软雅黑" w:eastAsia="微软雅黑" w:cs="微软雅黑"/>
                <w:color w:val="484848"/>
                <w:sz w:val="32"/>
                <w:szCs w:val="32"/>
                <w:u w:val="none"/>
              </w:rPr>
              <w:t>C</w:t>
            </w:r>
            <w:r>
              <w:rPr>
                <w:rFonts w:hint="eastAsia" w:ascii="仿宋" w:hAnsi="仿宋" w:eastAsia="仿宋" w:cs="仿宋"/>
                <w:color w:val="484848"/>
                <w:sz w:val="32"/>
                <w:szCs w:val="32"/>
                <w:u w:val="none"/>
              </w:rPr>
              <w:t>级要求</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56</w:t>
            </w:r>
          </w:p>
        </w:tc>
        <w:tc>
          <w:tcPr>
            <w:tcW w:w="64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重点行业和单位防蝇和防鼠设施合格率</w:t>
            </w:r>
          </w:p>
        </w:tc>
        <w:tc>
          <w:tcPr>
            <w:tcW w:w="36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95%</w:t>
            </w:r>
          </w:p>
        </w:tc>
        <w:tc>
          <w:tcPr>
            <w:tcW w:w="2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color w:val="484848"/>
          <w:sz w:val="21"/>
          <w:szCs w:val="21"/>
          <w:u w:val="none"/>
        </w:rPr>
      </w:pPr>
      <w:r>
        <w:rPr>
          <w:rFonts w:hint="eastAsia" w:ascii="微软雅黑" w:hAnsi="微软雅黑" w:eastAsia="微软雅黑" w:cs="微软雅黑"/>
          <w:i w:val="0"/>
          <w:iCs w:val="0"/>
          <w:caps w:val="0"/>
          <w:color w:val="484848"/>
          <w:spacing w:val="0"/>
          <w:sz w:val="21"/>
          <w:szCs w:val="21"/>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28"/>
          <w:szCs w:val="28"/>
          <w:u w:val="none"/>
        </w:rPr>
        <w:t>　　注：评价指标和目标值根据社会经济发展状况适时调整。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 w:hAnsi="仿宋" w:eastAsia="仿宋" w:cs="仿宋"/>
          <w:i w:val="0"/>
          <w:iCs w:val="0"/>
          <w:caps w:val="0"/>
          <w:color w:val="484848"/>
          <w:spacing w:val="0"/>
          <w:sz w:val="32"/>
          <w:szCs w:val="32"/>
          <w:u w:val="none"/>
        </w:rPr>
      </w:pPr>
      <w:r>
        <w:rPr>
          <w:rStyle w:val="7"/>
          <w:rFonts w:hint="eastAsia" w:ascii="微软雅黑" w:hAnsi="微软雅黑" w:eastAsia="微软雅黑" w:cs="微软雅黑"/>
          <w:i w:val="0"/>
          <w:iCs w:val="0"/>
          <w:caps w:val="0"/>
          <w:color w:val="484848"/>
          <w:spacing w:val="0"/>
          <w:sz w:val="44"/>
          <w:szCs w:val="44"/>
          <w:u w:val="none"/>
        </w:rPr>
        <w:t>国家卫生乡镇标准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本标准适用于创建国家卫生乡镇（县市建成区之外的乡镇）的地方。标准中未作说明的均指建成区。</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一、爱国卫生组织管理</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（一）将爱国卫生工作纳入乡镇党委和政府重要议事日程，列入目标管理，制定爱国卫生工作计划。</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爱卫会组织健全，成员单位分工明确、职责落实。有承担爱卫会工作的机构，职能、人员、经费等有保障。机关、企事业单位明确专兼职爱国卫生工作人员，村（居）民委员会要健全下属公共卫生委员会，推动落实好爱国卫生工作。</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（三）爱国卫生工作年度有计划、有部署、有检查、有总结。开展卫生村、卫生单位等创建活动。广泛开展群众性爱国卫生活动，各部门、各单位和广大群众积极参与。</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（四）推动将健康融入所有政策，把全生命周期健康管理理念贯穿地方规划、建设和管理全过程各环节。将应对突发公共卫生事件纳入国土空间规划，并逐步建设完善相关设施。</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（五）畅通爱国卫生建议和投诉渠道，认真核实和解决群众反映的问题。群众对卫生状况满意。</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二、健康教育和健康促进</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六）辖区健康教育网络健全，利用健康科普资源库、相关媒体和乡镇卫生院或相关医疗卫生机构的健康科普专业资源，广泛开展健康教育和健康促进活动，提升居民健康素养，倡导文明健康、绿色环保生活方式。大力普及中医养生保健的知识和方法。车站、广场和公园等公共场所设立的电子屏幕和公益广告等应当具有健康教育内容。积极开展健康村、健康社区、健康企业、健康机关、健康学校、健康促进医院、健康家庭等健康细胞建设，大力推进健康乡镇建设。建设健康步道、健康主题公园等，推广“三减三健”等慢性病防控措施。</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（七）社区、村建有健身场地设施，广泛开展全民健身活动，倡导居民经常参加体育锻炼，维持健康体重。机关、企事业单位等落实工作场所工间操制度。</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八）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逐步实现室内公共场所、工作场所和公共交通工具全面禁烟。</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三、市容环境卫生</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九）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（十）建筑物外立面上的广告设施和招牌的高度、大小符合规定标准，不遮盖建筑物外观轮廓，不影响建筑物本身和相邻建筑物采光、通风，不造成光污染。</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（十一）提高绿化覆盖率和公园绿地面积，强化绿地管理。</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二）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（十三）推行生活垃圾分类和减量化、资源化。因地制宜加快建立生活垃圾分类投放、分类收集、分类运输、分类处理系统，提高生活垃圾分类覆盖率。加强乡镇生活垃圾回收利用和无害化处理。</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四）积极推进厕所革命，提高卫生厕所普及率。公共厕所设置符合相关标准要求，数量充足，干净整洁。主次干道、车站、医疗机构、旅游景点、集贸市场、商场等公共场所的公厕设施不低于二类标准。生活污水有效收集处理。</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五）农产品市场布局合理，管理规范，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临时便民市场采取有效管理措施，保障周边市容环境卫生、交通秩序和群众正常生活秩序。流动商贩管理规范。无使用厚度小于0.025毫米的超薄塑料购物袋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（十六）饲养畜禽和野生动物需符合有关法律法规要求，畜禽粪污得到有效处置。各类集贸市场、花鸟宠物市场及动物交易市场无非法交易和宰杀野生动物现象。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七）社区、村和单位建有卫生管理组织和相关制度,卫生状况良好，环卫设施完善，推行垃圾分类，垃圾及时清运，公共厕所符合卫生要求；道路平坦，绿化美化，无乱搭乱建、乱堆乱摆、乱停乱放、乱贴乱画、乱扔乱倒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八）镇辖村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（十九）加强铁路沿线两侧环境卫生整治，铁路两侧500米范围内无露天堆放的彩钢瓦、塑料薄膜、防尘网等轻飘物品，铁路沿线安全保护区内无倾倒垃圾、排污等现象。</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四、生态环境</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近3年辖区内未发生重大环境污染和生态破坏事故。建立环境保护工作机制，无烟囱排黑烟、乱排污水现象，无秸秆、垃圾露天焚烧现象，无黑臭水体。排放油烟的餐饮单位安装油烟净化装置并保持正常使用。各级水环境功能区全部达到要求，未划定功能区的水质不低于五类。</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（二十一）区域环境噪声控制良好，声功能区夜间环境质量达标。</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（二十二）集中式饮用水水源地水质达标。辖区内重点河湖主要控制断面生态流量达标。</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三）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五、重点场所卫生</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（二十四）公共场所实行卫生监督量化分级管理，公共场所卫生信誉度等级应向社会公示，并使用统一标识。卫生许可证件齐全有效，卫生管理规范，直接为顾客服务的人员取得有效健康合格证明。</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（二十五）小浴室、小美容美发店、小歌舞厅、小旅店等经营资格合法，室内外环境整洁，卫生管理、硬件设施符合相应国家标准要求。</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六）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（二十七）中小学体育与健康课程开课率达标。中小学生每天校内体育活动时间充足。学校眼保健操普及率达标。中小学生近视率、肥胖率逐年下降。近3年辖区内无重大学校食物中毒事件。</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（二十八）辖区内存在职业病目录所列职业病危害因素的企业职业病危害项目及时申报。对接触职业病危害的劳动者依法进行职业健康检查。近3年辖区内未发生重大职业病危害事故。</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（二十九）商场、超市等公共场所卫生检测结果符合国家相关标准要求。</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六、食品和生活饮用水安全</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（三十）近3年辖区内未发生重大食品安全和饮用水安全事故，依法报告食品安全和饮用水安全事故信息。</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（三十一）加强小餐饮店、小食品店、小作坊管理，无固定经营场所的食品摊贩实行统一管理，规定区域、限定品种经营。无制售“三无”食品、假冒食品、劣质食品、过期食品等现象。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二）积极推行明厨亮灶和食品生产经营风险分级管理。从事接触直接入口食品工作的食品生产经营人员取得有效的健康合格证明。落实清洗消毒制度，防蝇防鼠等设施健全。食品生产企业严格执行国家相关标准。</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（三十三）辖区内积极推广分餐制和公筷制，大力倡导“光盘行动”。辖区内无贩卖、制售、食用野生动物现象。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四）市政供水、自备供水、居民小区供水管理规范，供水单位有卫生许可证。二次供水符合国家相关标准要求。开展水质监测工作，采样点选择、检验项目和频率符合相关要求。饮用水水质达标率与当地县城接近或基本相当。</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七、疾病防控与医疗卫生服务</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（三十五）医疗卫生机构发热门诊（诊室）、肠道门诊、预检分诊符合有关规定。</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（三十六）按照国家免疫规划和当地预防接种工作计划，定期为适龄人群提供预防接种服务。多措并举促进妇女儿童全面健康发展。积极推进医养结合服务。</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七）健全重大事件处置中的社会心理健康监测预警机制，强化心理健康促进和心理疏导、危机干预。严重精神障碍患者管理规范。加强教育等重点行业人群急救知识与技能培训，引导全社会逐步提高全民急救能力。</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（三十八）构建和谐医患关系，医疗卫生人员具备安全的工作条件，执业环境逐步改善。辖区内无重特大刑事伤医案件。无无证行医、非法采供血和非法医疗广告。</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三十九）建立政府组织和全社会参与的病媒生物预防控制机制。湖泊、河流、沟渠、景观水体、小型积水、垃圾、厕所等各类孳生环境得到有效治理，建成区鼠、蚊、蝇、蟑螂的密度达标。重点行业和单位防蝇和防鼠设施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7"/>
          <w:rFonts w:hint="eastAsia" w:ascii="微软雅黑" w:hAnsi="微软雅黑" w:eastAsia="微软雅黑" w:cs="微软雅黑"/>
          <w:i w:val="0"/>
          <w:iCs w:val="0"/>
          <w:caps w:val="0"/>
          <w:color w:val="484848"/>
          <w:spacing w:val="0"/>
          <w:sz w:val="44"/>
          <w:szCs w:val="4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 w:hAnsi="仿宋" w:eastAsia="仿宋" w:cs="仿宋"/>
          <w:i w:val="0"/>
          <w:iCs w:val="0"/>
          <w:caps w:val="0"/>
          <w:color w:val="484848"/>
          <w:spacing w:val="0"/>
          <w:sz w:val="32"/>
          <w:szCs w:val="32"/>
          <w:u w:val="none"/>
        </w:rPr>
      </w:pPr>
      <w:r>
        <w:rPr>
          <w:rStyle w:val="7"/>
          <w:rFonts w:hint="eastAsia" w:ascii="微软雅黑" w:hAnsi="微软雅黑" w:eastAsia="微软雅黑" w:cs="微软雅黑"/>
          <w:i w:val="0"/>
          <w:iCs w:val="0"/>
          <w:caps w:val="0"/>
          <w:color w:val="484848"/>
          <w:spacing w:val="0"/>
          <w:sz w:val="44"/>
          <w:szCs w:val="44"/>
          <w:u w:val="none"/>
        </w:rPr>
        <w:t>国家卫生乡镇数据评价指标</w:t>
      </w: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3"/>
        <w:gridCol w:w="4255"/>
        <w:gridCol w:w="2000"/>
        <w:gridCol w:w="152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序号</w:t>
            </w:r>
          </w:p>
        </w:tc>
        <w:tc>
          <w:tcPr>
            <w:tcW w:w="79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评价指标</w:t>
            </w:r>
          </w:p>
        </w:tc>
        <w:tc>
          <w:tcPr>
            <w:tcW w:w="29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目标值</w:t>
            </w:r>
          </w:p>
        </w:tc>
        <w:tc>
          <w:tcPr>
            <w:tcW w:w="2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b/>
                <w:bCs/>
                <w:color w:val="484848"/>
                <w:sz w:val="32"/>
                <w:szCs w:val="32"/>
                <w:u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群众对卫生状况满意率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建有全民健身场地设施的社区比例</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3</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经常参加体育锻炼人数的比例</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w:t>
            </w:r>
            <w:r>
              <w:rPr>
                <w:rFonts w:hint="eastAsia" w:ascii="仿宋" w:hAnsi="仿宋" w:eastAsia="仿宋" w:cs="仿宋"/>
                <w:color w:val="484848"/>
                <w:sz w:val="32"/>
                <w:szCs w:val="32"/>
                <w:u w:val="none"/>
              </w:rPr>
              <w:t>38.5%</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4</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道路装灯率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5</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主次干道每日保洁时间</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16</w:t>
            </w:r>
            <w:r>
              <w:rPr>
                <w:rFonts w:hint="eastAsia" w:ascii="仿宋" w:hAnsi="仿宋" w:eastAsia="仿宋" w:cs="仿宋"/>
                <w:color w:val="484848"/>
                <w:sz w:val="32"/>
                <w:szCs w:val="32"/>
                <w:u w:val="none"/>
              </w:rPr>
              <w:t>小时</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6</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街巷路面每日保洁时间</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12</w:t>
            </w:r>
            <w:r>
              <w:rPr>
                <w:rFonts w:hint="eastAsia" w:ascii="仿宋" w:hAnsi="仿宋" w:eastAsia="仿宋" w:cs="仿宋"/>
                <w:color w:val="484848"/>
                <w:sz w:val="32"/>
                <w:szCs w:val="32"/>
                <w:u w:val="none"/>
              </w:rPr>
              <w:t>小时</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7</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乡镇下水道管网覆盖率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&gt;70%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8</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乡镇生活垃圾无害化处理率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80%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9</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农村卫生厕所普及率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达到或高于全省平均水平</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集中式饮用水水源地水质达标率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11</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学校校医或专（兼）职保健教师</w:t>
            </w:r>
            <w:r>
              <w:rPr>
                <w:rFonts w:hint="eastAsia" w:ascii="微软雅黑" w:hAnsi="微软雅黑" w:eastAsia="微软雅黑" w:cs="微软雅黑"/>
                <w:color w:val="000000"/>
                <w:sz w:val="32"/>
                <w:szCs w:val="32"/>
                <w:u w:val="none"/>
              </w:rPr>
              <w:t>配备比率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&gt;70％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12</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中小学体育与健康课程开课率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13</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中小学生每天校内体育活动时间</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1</w:t>
            </w:r>
            <w:r>
              <w:rPr>
                <w:rFonts w:hint="eastAsia" w:ascii="仿宋" w:hAnsi="仿宋" w:eastAsia="仿宋" w:cs="仿宋"/>
                <w:color w:val="484848"/>
                <w:sz w:val="32"/>
                <w:szCs w:val="32"/>
                <w:u w:val="none"/>
              </w:rPr>
              <w:t>小时</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14</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学校眼保健操普及率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100%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15</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中小学生近视率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逐年下降</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16</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中小学生肥胖率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逐年下降</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17</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存在职业病目录所列职业病危害因素的企业职业病危害项目申报率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&gt;90％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18</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适龄儿童免疫规划疫苗接种率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19</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居住满</w:t>
            </w:r>
            <w:r>
              <w:rPr>
                <w:rFonts w:hint="eastAsia" w:ascii="微软雅黑" w:hAnsi="微软雅黑" w:eastAsia="微软雅黑" w:cs="微软雅黑"/>
                <w:color w:val="484848"/>
                <w:sz w:val="32"/>
                <w:szCs w:val="32"/>
                <w:u w:val="none"/>
              </w:rPr>
              <w:t>3</w:t>
            </w:r>
            <w:r>
              <w:rPr>
                <w:rFonts w:hint="eastAsia" w:ascii="仿宋" w:hAnsi="仿宋" w:eastAsia="仿宋" w:cs="仿宋"/>
                <w:color w:val="484848"/>
                <w:sz w:val="32"/>
                <w:szCs w:val="32"/>
                <w:u w:val="none"/>
              </w:rPr>
              <w:t>个月以上的适龄儿童建卡、建证率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95%</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20</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辖区内</w:t>
            </w:r>
            <w:r>
              <w:rPr>
                <w:rFonts w:hint="eastAsia" w:ascii="微软雅黑" w:hAnsi="微软雅黑" w:eastAsia="微软雅黑" w:cs="微软雅黑"/>
                <w:color w:val="484848"/>
                <w:sz w:val="32"/>
                <w:szCs w:val="32"/>
                <w:u w:val="none"/>
              </w:rPr>
              <w:t>3</w:t>
            </w:r>
            <w:r>
              <w:rPr>
                <w:rFonts w:hint="eastAsia" w:ascii="仿宋" w:hAnsi="仿宋" w:eastAsia="仿宋" w:cs="仿宋"/>
                <w:color w:val="000000"/>
                <w:sz w:val="32"/>
                <w:szCs w:val="32"/>
                <w:u w:val="none"/>
              </w:rPr>
              <w:t>岁以下儿童系统管理率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w:t>
            </w:r>
            <w:r>
              <w:rPr>
                <w:rFonts w:hint="eastAsia" w:ascii="微软雅黑" w:hAnsi="微软雅黑" w:eastAsia="微软雅黑" w:cs="微软雅黑"/>
                <w:color w:val="484848"/>
                <w:sz w:val="32"/>
                <w:szCs w:val="32"/>
                <w:u w:val="none"/>
              </w:rPr>
              <w:t>90%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21</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000000"/>
                <w:sz w:val="32"/>
                <w:szCs w:val="32"/>
                <w:u w:val="none"/>
              </w:rPr>
              <w:t>0-6岁儿童眼保健和视力检查率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000000"/>
                <w:sz w:val="32"/>
                <w:szCs w:val="32"/>
                <w:u w:val="none"/>
              </w:rPr>
              <w:t>≥</w:t>
            </w:r>
            <w:r>
              <w:rPr>
                <w:rFonts w:hint="eastAsia" w:ascii="微软雅黑" w:hAnsi="微软雅黑" w:eastAsia="微软雅黑" w:cs="微软雅黑"/>
                <w:color w:val="484848"/>
                <w:sz w:val="32"/>
                <w:szCs w:val="32"/>
                <w:u w:val="none"/>
              </w:rPr>
              <w:t>90%</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22</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严重精神障碍患者规范管理率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85%</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23</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建成区鼠、蚊、蝇、蟑螂的密度</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达到国家病媒生物密度控制水平标准</w:t>
            </w:r>
            <w:r>
              <w:rPr>
                <w:rFonts w:hint="eastAsia" w:ascii="微软雅黑" w:hAnsi="微软雅黑" w:eastAsia="微软雅黑" w:cs="微软雅黑"/>
                <w:color w:val="484848"/>
                <w:sz w:val="32"/>
                <w:szCs w:val="32"/>
                <w:u w:val="none"/>
              </w:rPr>
              <w:t>C</w:t>
            </w:r>
            <w:r>
              <w:rPr>
                <w:rFonts w:hint="eastAsia" w:ascii="仿宋" w:hAnsi="仿宋" w:eastAsia="仿宋" w:cs="仿宋"/>
                <w:color w:val="484848"/>
                <w:sz w:val="32"/>
                <w:szCs w:val="32"/>
                <w:u w:val="none"/>
              </w:rPr>
              <w:t>级要求</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24</w:t>
            </w:r>
          </w:p>
        </w:tc>
        <w:tc>
          <w:tcPr>
            <w:tcW w:w="79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default" w:ascii="Calibri" w:hAnsi="Calibri" w:cs="Calibri"/>
                <w:color w:val="484848"/>
                <w:sz w:val="21"/>
                <w:szCs w:val="21"/>
                <w:u w:val="none"/>
              </w:rPr>
            </w:pPr>
            <w:r>
              <w:rPr>
                <w:rFonts w:hint="eastAsia" w:ascii="仿宋" w:hAnsi="仿宋" w:eastAsia="仿宋" w:cs="仿宋"/>
                <w:color w:val="484848"/>
                <w:sz w:val="32"/>
                <w:szCs w:val="32"/>
                <w:u w:val="none"/>
              </w:rPr>
              <w:t>重点行业和单位防蝇和防鼠设施合格率</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w:t>
            </w:r>
            <w:r>
              <w:rPr>
                <w:rFonts w:hint="eastAsia" w:ascii="微软雅黑" w:hAnsi="微软雅黑" w:eastAsia="微软雅黑" w:cs="微软雅黑"/>
                <w:color w:val="484848"/>
                <w:sz w:val="32"/>
                <w:szCs w:val="32"/>
                <w:u w:val="none"/>
              </w:rPr>
              <w:t>95%</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color w:val="484848"/>
                <w:sz w:val="21"/>
                <w:szCs w:val="21"/>
                <w:u w:val="none"/>
              </w:rPr>
            </w:pPr>
            <w:r>
              <w:rPr>
                <w:rFonts w:hint="eastAsia" w:ascii="仿宋" w:hAnsi="仿宋" w:eastAsia="仿宋" w:cs="仿宋"/>
                <w:color w:val="484848"/>
                <w:sz w:val="32"/>
                <w:szCs w:val="32"/>
                <w:u w:val="none"/>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color w:val="484848"/>
          <w:sz w:val="21"/>
          <w:szCs w:val="21"/>
          <w:u w:val="none"/>
        </w:rPr>
      </w:pPr>
      <w:r>
        <w:rPr>
          <w:rFonts w:hint="eastAsia" w:ascii="微软雅黑" w:hAnsi="微软雅黑" w:eastAsia="微软雅黑" w:cs="微软雅黑"/>
          <w:i w:val="0"/>
          <w:iCs w:val="0"/>
          <w:caps w:val="0"/>
          <w:color w:val="484848"/>
          <w:spacing w:val="0"/>
          <w:sz w:val="21"/>
          <w:szCs w:val="21"/>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28"/>
          <w:szCs w:val="28"/>
          <w:u w:val="none"/>
        </w:rPr>
        <w:t>　　注：评价指标和目标值根据社会经济发展状况适时调整。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jc w:val="both"/>
        <w:rPr>
          <w:rFonts w:ascii="仿宋" w:hAnsi="仿宋" w:eastAsia="仿宋" w:cs="仿宋"/>
          <w:i w:val="0"/>
          <w:iCs w:val="0"/>
          <w:caps w:val="0"/>
          <w:color w:val="484848"/>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1966A7"/>
          <w:spacing w:val="0"/>
          <w:kern w:val="0"/>
          <w:sz w:val="36"/>
          <w:szCs w:val="36"/>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1966A7"/>
          <w:spacing w:val="0"/>
          <w:kern w:val="0"/>
          <w:sz w:val="36"/>
          <w:szCs w:val="36"/>
          <w:u w:val="none"/>
          <w:lang w:val="en-US" w:eastAsia="zh-CN" w:bidi="ar"/>
        </w:rPr>
        <w:t>《国家卫生城镇评审管理办法》《国家卫生城市和国家卫生县标准》《国家卫生乡镇标准》解读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ascii="仿宋" w:hAnsi="仿宋" w:eastAsia="仿宋" w:cs="仿宋"/>
          <w:color w:val="484848"/>
          <w:sz w:val="32"/>
          <w:szCs w:val="32"/>
          <w:u w:val="none"/>
        </w:rPr>
      </w:pPr>
      <w:r>
        <w:rPr>
          <w:rFonts w:ascii="黑体" w:hAnsi="宋体" w:eastAsia="黑体" w:cs="黑体"/>
          <w:i w:val="0"/>
          <w:iCs w:val="0"/>
          <w:caps w:val="0"/>
          <w:color w:val="484848"/>
          <w:spacing w:val="0"/>
          <w:sz w:val="32"/>
          <w:szCs w:val="32"/>
          <w:u w:val="none"/>
        </w:rPr>
        <w:t>一、背景情况</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1989和1997年，全国爱国卫生运动委员会（以下简称全国爱卫会）先后启动了国家卫生城市、国家卫生乡镇（县城）创建活动。截至目前，全国现命名国家卫生城市（区）438个（含直辖市所辖区、地级市和县级市），占总数762个的57.5%；命名国家卫生乡镇（县城）3307个，占全国乡镇总数31550个的10.5%。通过创建活动开展，有力带动了各地全面改善城乡环境卫生面貌，提升社会健康综合管理水平。</w:t>
      </w:r>
      <w:r>
        <w:rPr>
          <w:rFonts w:hint="eastAsia" w:ascii="仿宋" w:hAnsi="仿宋" w:eastAsia="仿宋" w:cs="仿宋"/>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为深入贯彻习近平总书记关于爱国卫生工作的重要指示批示精神，将国务院《关于深入开展爱国卫生运动的意见》提出的各项政策措施落到实处，进一步适应爱国卫生工作面临的新形势、新要求，提高国家卫生城镇创建管理精细化、规范化、科学化水平，服务疫情防控常态化工作，助力健康中国建设，全国爱卫会办公室在多次听取全国爱卫会相关成员单位、各地和有关专家意见的基础上，组织对原国家卫生城镇评审管理办法和相关标准进行修订，形成《国家卫生城镇评审管理办法》（以下简称《办法》）和《国家卫生城市和国家卫生县标准》《国家卫生乡镇标准》（以下统称《标准》）。</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二、《办法》修订内容</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办法》修订坚持为民创卫、科学创卫，围绕健康中国建设，推进基层减负，引导各地主动创卫、积极创卫，全面打造优良健康环境，助力常态化疫情防控。一是优化创建申报范围，国家卫生城市申报范围调整为地级行政区和直辖市所辖区（不含所辖县和自治县），国家卫生县申报范围包括县、县级市、旗等，国家卫生乡镇申报范围为县（市）建成区之外的乡镇。二是完善分级管理，明确国家卫生城市由全国爱卫办组织评审，国家卫生县和国家卫生乡镇由全国爱卫会委托各省级爱卫会组织评审，全国爱卫办抽查确认。三是简化评审流程，将原来国家卫生城市创建的资料评审、暗访、技术评估、综合评审、社会公示5个程序简化为线上评估、现场评估和社会公示等3个程序。四是删除创卫必备条件，将原办法中要求的必备条件改为计分衡量，不再实行一票否决。五是完善长效监管机制，将国家卫生城市复审由三年固定时间段复审调整为在命名后的三年内随机抽查复审，国家卫生县和国家卫生乡镇复审由省级爱卫会参照国家要求开展，国家按比例随机抽查。</w:t>
      </w:r>
      <w:r>
        <w:rPr>
          <w:rFonts w:hint="eastAsia" w:ascii="仿宋" w:hAnsi="仿宋" w:eastAsia="仿宋" w:cs="仿宋"/>
          <w:i w:val="0"/>
          <w:iCs w:val="0"/>
          <w:caps w:val="0"/>
          <w:color w:val="484848"/>
          <w:spacing w:val="0"/>
          <w:sz w:val="32"/>
          <w:szCs w:val="32"/>
          <w:u w:val="none"/>
        </w:rPr>
        <w:br w:type="textWrapping"/>
      </w:r>
      <w:r>
        <w:rPr>
          <w:rFonts w:hint="eastAsia" w:ascii="黑体" w:hAnsi="宋体" w:eastAsia="黑体" w:cs="黑体"/>
          <w:i w:val="0"/>
          <w:iCs w:val="0"/>
          <w:caps w:val="0"/>
          <w:color w:val="484848"/>
          <w:spacing w:val="0"/>
          <w:sz w:val="32"/>
          <w:szCs w:val="32"/>
          <w:u w:val="none"/>
        </w:rPr>
        <w:t>　　三、《标准》修订内容</w:t>
      </w:r>
      <w:r>
        <w:rPr>
          <w:rFonts w:hint="eastAsia" w:ascii="黑体" w:hAnsi="宋体" w:eastAsia="黑体" w:cs="黑体"/>
          <w:i w:val="0"/>
          <w:iCs w:val="0"/>
          <w:caps w:val="0"/>
          <w:color w:val="484848"/>
          <w:spacing w:val="0"/>
          <w:sz w:val="32"/>
          <w:szCs w:val="32"/>
          <w:u w:val="none"/>
        </w:rPr>
        <w:br w:type="textWrapping"/>
      </w:r>
      <w:r>
        <w:rPr>
          <w:rFonts w:hint="eastAsia" w:ascii="仿宋" w:hAnsi="仿宋" w:eastAsia="仿宋" w:cs="仿宋"/>
          <w:i w:val="0"/>
          <w:iCs w:val="0"/>
          <w:caps w:val="0"/>
          <w:color w:val="484848"/>
          <w:spacing w:val="0"/>
          <w:sz w:val="32"/>
          <w:szCs w:val="32"/>
          <w:u w:val="none"/>
        </w:rPr>
        <w:t>　　《标准》修订围绕常态化疫情防控工作要求，推进补齐公共卫生短板，推动健康中国行动落实，统筹考虑经济社会发展和创建标准的延续性、可操作性，聚焦疾病防控、人居环境改善、饮食习惯、社会心理健康、公共卫生设施建设等，引导各地全面改善环境卫生状况，提升群众健康素养水平，推进健康中国建设。一是强化传染病防控相关要求，增加农贸市场、学校等重点场所和冷链设施等的卫生防疫要求，倡导“公勺公筷”“分餐制”等文明健康生活方式，积极预防控制重大传染病可能产生的公共危害。二是将县和城市纳入同一标准体系，随着经济社会发展和城镇化建设加快，大部分县城已经发展为县域内的社会、经济、文化等中心，和城市区别不大，因此将城市标准适用于县创建，有利于促进城乡一体化，同时为体现城市和县的差异，在部分具体评价指标设定中县略低于城市。三是助力健康中国行动实施，在标准中增加了防控青少年近视和肥胖、老年健康、AED（自动体外除颤器）配置使用等健康中国行动15项专项行动工作指标要求。四是优化部分指标和标准内容表述，结合实际情况、经济社会发展和可操作性，删除了不便于实际工作考核的宽泛表述和个别指标，调增了道路机械化清扫率、城市管理信息化覆盖率等指标要求。</w:t>
      </w:r>
    </w:p>
    <w:p>
      <w:pPr>
        <w:jc w:val="both"/>
        <w:rPr>
          <w:rFonts w:ascii="仿宋" w:hAnsi="仿宋" w:eastAsia="仿宋" w:cs="仿宋"/>
          <w:i w:val="0"/>
          <w:iCs w:val="0"/>
          <w:caps w:val="0"/>
          <w:color w:val="484848"/>
          <w:spacing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6"/>
                              <w:szCs w:val="5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36"/>
                        <w:szCs w:val="5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000000"/>
    <w:rsid w:val="0AB4351C"/>
    <w:rsid w:val="4BA9223C"/>
    <w:rsid w:val="502572C0"/>
    <w:rsid w:val="59AF6467"/>
    <w:rsid w:val="6C2F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11458</Words>
  <Characters>11712</Characters>
  <Lines>0</Lines>
  <Paragraphs>0</Paragraphs>
  <TotalTime>36</TotalTime>
  <ScaleCrop>false</ScaleCrop>
  <LinksUpToDate>false</LinksUpToDate>
  <CharactersWithSpaces>11931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2021-12-20T06:36:00Z</dcterms:created>
  <dc:creator>Administrator</dc:creator>
  <cp:lastModifiedBy>零开始1397739712</cp:lastModifiedBy>
  <cp:lastPrinted>2021-12-20T07:03:00Z</cp:lastPrinted>
  <dcterms:modified xsi:type="dcterms:W3CDTF">2023-03-30T01:15:23Z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8A20E7D33CD74FF68F1358C90493C06B</vt:lpwstr>
  </property>
</Properties>
</file>