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13C91C">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eastAsia" w:ascii="方正仿宋_GBK" w:hAnsi="方正仿宋_GBK" w:eastAsia="方正仿宋_GBK" w:cs="方正仿宋_GBK"/>
          <w:color w:val="auto"/>
          <w:sz w:val="44"/>
          <w:szCs w:val="44"/>
          <w:lang w:val="en-US" w:eastAsia="zh-CN"/>
        </w:rPr>
      </w:pPr>
    </w:p>
    <w:p w14:paraId="41F5DB26">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eastAsia" w:ascii="方正仿宋_GBK" w:hAnsi="方正仿宋_GBK" w:eastAsia="方正仿宋_GBK" w:cs="方正仿宋_GBK"/>
          <w:color w:val="auto"/>
          <w:sz w:val="44"/>
          <w:szCs w:val="44"/>
          <w:lang w:val="en-US" w:eastAsia="zh-CN"/>
        </w:rPr>
      </w:pPr>
    </w:p>
    <w:p w14:paraId="74889E0D">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eastAsia" w:ascii="方正小标宋_GBK" w:hAnsi="方正小标宋_GBK" w:eastAsia="方正小标宋_GBK" w:cs="方正小标宋_GBK"/>
          <w:color w:val="auto"/>
          <w:sz w:val="44"/>
          <w:szCs w:val="44"/>
          <w:lang w:val="en-US" w:eastAsia="zh-CN"/>
        </w:rPr>
      </w:pPr>
      <w:r>
        <w:rPr>
          <w:rFonts w:hint="eastAsia" w:ascii="方正小标宋_GBK" w:hAnsi="方正小标宋_GBK" w:eastAsia="方正小标宋_GBK" w:cs="方正小标宋_GBK"/>
          <w:color w:val="auto"/>
          <w:sz w:val="44"/>
          <w:szCs w:val="44"/>
          <w:lang w:val="en-US" w:eastAsia="zh-CN"/>
        </w:rPr>
        <w:t>歙县人民政府办公室关于</w:t>
      </w:r>
    </w:p>
    <w:p w14:paraId="6D1FB852">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eastAsia" w:ascii="方正小标宋_GBK" w:hAnsi="方正小标宋_GBK" w:eastAsia="方正小标宋_GBK" w:cs="方正小标宋_GBK"/>
          <w:color w:val="auto"/>
          <w:sz w:val="44"/>
          <w:szCs w:val="44"/>
          <w:lang w:val="en-US" w:eastAsia="zh-CN"/>
        </w:rPr>
      </w:pPr>
      <w:r>
        <w:rPr>
          <w:rFonts w:hint="eastAsia" w:ascii="方正小标宋_GBK" w:hAnsi="方正小标宋_GBK" w:eastAsia="方正小标宋_GBK" w:cs="方正小标宋_GBK"/>
          <w:color w:val="auto"/>
          <w:sz w:val="44"/>
          <w:szCs w:val="44"/>
          <w:lang w:val="en-US" w:eastAsia="zh-CN"/>
        </w:rPr>
        <w:t>印发</w:t>
      </w:r>
      <w:r>
        <w:rPr>
          <w:rFonts w:hint="eastAsia" w:ascii="方正小标宋_GBK" w:hAnsi="方正小标宋_GBK" w:eastAsia="方正小标宋_GBK" w:cs="方正小标宋_GBK"/>
          <w:b w:val="0"/>
          <w:bCs w:val="0"/>
          <w:color w:val="auto"/>
          <w:sz w:val="44"/>
          <w:szCs w:val="44"/>
          <w:lang w:val="en-US" w:eastAsia="zh-CN"/>
        </w:rPr>
        <w:t>歙县建设用地容积率管理办法</w:t>
      </w:r>
      <w:r>
        <w:rPr>
          <w:rFonts w:hint="eastAsia" w:ascii="方正小标宋_GBK" w:hAnsi="方正小标宋_GBK" w:eastAsia="方正小标宋_GBK" w:cs="方正小标宋_GBK"/>
          <w:color w:val="auto"/>
          <w:sz w:val="44"/>
          <w:szCs w:val="44"/>
          <w:lang w:val="en-US" w:eastAsia="zh-CN"/>
        </w:rPr>
        <w:t>的通知</w:t>
      </w:r>
    </w:p>
    <w:p w14:paraId="3725C138">
      <w:pPr>
        <w:keepNext w:val="0"/>
        <w:keepLines w:val="0"/>
        <w:pageBreakBefore w:val="0"/>
        <w:widowControl w:val="0"/>
        <w:kinsoku/>
        <w:wordWrap/>
        <w:overflowPunct/>
        <w:topLinePunct w:val="0"/>
        <w:autoSpaceDE/>
        <w:autoSpaceDN/>
        <w:bidi w:val="0"/>
        <w:adjustRightInd/>
        <w:snapToGrid/>
        <w:spacing w:line="590" w:lineRule="exact"/>
        <w:jc w:val="center"/>
        <w:textAlignment w:val="auto"/>
        <w:outlineLvl w:val="9"/>
        <w:rPr>
          <w:rFonts w:hint="eastAsia" w:ascii="方正仿宋_GBK" w:hAnsi="方正仿宋_GBK" w:eastAsia="方正仿宋_GBK" w:cs="方正仿宋_GBK"/>
          <w:b w:val="0"/>
          <w:bCs w:val="0"/>
          <w:sz w:val="32"/>
          <w:szCs w:val="32"/>
          <w:lang w:eastAsia="zh-CN"/>
        </w:rPr>
      </w:pPr>
      <w:r>
        <w:rPr>
          <w:rFonts w:hint="eastAsia" w:ascii="方正仿宋_GBK" w:hAnsi="方正仿宋_GBK" w:eastAsia="方正仿宋_GBK" w:cs="方正仿宋_GBK"/>
          <w:b w:val="0"/>
          <w:bCs w:val="0"/>
          <w:sz w:val="32"/>
          <w:szCs w:val="32"/>
          <w:lang w:eastAsia="zh-CN"/>
        </w:rPr>
        <w:t>歙政办</w:t>
      </w:r>
      <w:r>
        <w:rPr>
          <w:rFonts w:hint="default" w:ascii="Times New Roman" w:hAnsi="Times New Roman" w:eastAsia="方正仿宋_GBK" w:cs="Times New Roman"/>
          <w:b w:val="0"/>
          <w:bCs w:val="0"/>
          <w:sz w:val="32"/>
          <w:szCs w:val="32"/>
          <w:lang w:eastAsia="zh-CN"/>
        </w:rPr>
        <w:t>〔2022〕</w:t>
      </w:r>
      <w:r>
        <w:rPr>
          <w:rFonts w:hint="default" w:ascii="Times New Roman" w:hAnsi="Times New Roman" w:eastAsia="方正仿宋_GBK" w:cs="Times New Roman"/>
          <w:b w:val="0"/>
          <w:bCs w:val="0"/>
          <w:sz w:val="32"/>
          <w:szCs w:val="32"/>
          <w:lang w:val="en-US" w:eastAsia="zh-CN"/>
        </w:rPr>
        <w:t>11</w:t>
      </w:r>
      <w:r>
        <w:rPr>
          <w:rFonts w:hint="eastAsia" w:ascii="方正仿宋_GBK" w:hAnsi="方正仿宋_GBK" w:eastAsia="方正仿宋_GBK" w:cs="方正仿宋_GBK"/>
          <w:b w:val="0"/>
          <w:bCs w:val="0"/>
          <w:sz w:val="32"/>
          <w:szCs w:val="32"/>
          <w:lang w:eastAsia="zh-CN"/>
        </w:rPr>
        <w:t>号</w:t>
      </w:r>
    </w:p>
    <w:p w14:paraId="510065D1">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eastAsia" w:ascii="方正仿宋_GBK" w:hAnsi="方正仿宋_GBK" w:eastAsia="方正仿宋_GBK" w:cs="方正仿宋_GBK"/>
          <w:color w:val="auto"/>
          <w:sz w:val="32"/>
          <w:szCs w:val="32"/>
          <w:lang w:val="en-US" w:eastAsia="zh-CN"/>
        </w:rPr>
      </w:pPr>
    </w:p>
    <w:p w14:paraId="28EA531E">
      <w:pPr>
        <w:keepNext w:val="0"/>
        <w:keepLines w:val="0"/>
        <w:pageBreakBefore w:val="0"/>
        <w:widowControl w:val="0"/>
        <w:kinsoku/>
        <w:wordWrap/>
        <w:overflowPunct/>
        <w:topLinePunct w:val="0"/>
        <w:autoSpaceDE/>
        <w:autoSpaceDN/>
        <w:bidi w:val="0"/>
        <w:adjustRightInd/>
        <w:snapToGrid/>
        <w:spacing w:line="590" w:lineRule="exact"/>
        <w:jc w:val="both"/>
        <w:textAlignment w:val="auto"/>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各乡镇人民政府，县政府各部门、各直属机构：</w:t>
      </w:r>
    </w:p>
    <w:p w14:paraId="491F7255">
      <w:pPr>
        <w:keepNext w:val="0"/>
        <w:keepLines w:val="0"/>
        <w:pageBreakBefore w:val="0"/>
        <w:widowControl w:val="0"/>
        <w:kinsoku/>
        <w:wordWrap/>
        <w:overflowPunct/>
        <w:topLinePunct w:val="0"/>
        <w:autoSpaceDE/>
        <w:autoSpaceDN/>
        <w:bidi w:val="0"/>
        <w:adjustRightInd/>
        <w:snapToGrid/>
        <w:spacing w:line="590" w:lineRule="exact"/>
        <w:ind w:firstLine="640"/>
        <w:jc w:val="both"/>
        <w:textAlignment w:val="auto"/>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《歙县建设用地容积率管理办法》已经</w:t>
      </w:r>
      <w:r>
        <w:rPr>
          <w:rFonts w:hint="default" w:ascii="Times New Roman" w:hAnsi="Times New Roman" w:eastAsia="方正仿宋_GBK" w:cs="Times New Roman"/>
          <w:color w:val="auto"/>
          <w:sz w:val="32"/>
          <w:szCs w:val="32"/>
          <w:lang w:val="en-US" w:eastAsia="zh-CN"/>
        </w:rPr>
        <w:t>2022</w:t>
      </w:r>
      <w:r>
        <w:rPr>
          <w:rFonts w:hint="eastAsia" w:ascii="方正仿宋_GBK" w:hAnsi="方正仿宋_GBK" w:eastAsia="方正仿宋_GBK" w:cs="方正仿宋_GBK"/>
          <w:color w:val="auto"/>
          <w:sz w:val="32"/>
          <w:szCs w:val="32"/>
          <w:lang w:val="en-US" w:eastAsia="zh-CN"/>
        </w:rPr>
        <w:t>年</w:t>
      </w:r>
      <w:r>
        <w:rPr>
          <w:rFonts w:hint="default" w:ascii="Times New Roman" w:hAnsi="Times New Roman" w:eastAsia="方正仿宋_GBK" w:cs="Times New Roman"/>
          <w:color w:val="auto"/>
          <w:sz w:val="32"/>
          <w:szCs w:val="32"/>
          <w:lang w:val="en-US" w:eastAsia="zh-CN"/>
        </w:rPr>
        <w:t>9</w:t>
      </w:r>
      <w:r>
        <w:rPr>
          <w:rFonts w:hint="eastAsia" w:ascii="方正仿宋_GBK" w:hAnsi="方正仿宋_GBK" w:eastAsia="方正仿宋_GBK" w:cs="方正仿宋_GBK"/>
          <w:color w:val="auto"/>
          <w:sz w:val="32"/>
          <w:szCs w:val="32"/>
          <w:lang w:val="en-US" w:eastAsia="zh-CN"/>
        </w:rPr>
        <w:t>月</w:t>
      </w:r>
      <w:r>
        <w:rPr>
          <w:rFonts w:hint="default" w:ascii="Times New Roman" w:hAnsi="Times New Roman" w:eastAsia="方正仿宋_GBK" w:cs="Times New Roman"/>
          <w:color w:val="auto"/>
          <w:sz w:val="32"/>
          <w:szCs w:val="32"/>
          <w:lang w:val="en-US" w:eastAsia="zh-CN"/>
        </w:rPr>
        <w:t>4</w:t>
      </w:r>
      <w:r>
        <w:rPr>
          <w:rFonts w:hint="eastAsia" w:ascii="方正仿宋_GBK" w:hAnsi="方正仿宋_GBK" w:eastAsia="方正仿宋_GBK" w:cs="方正仿宋_GBK"/>
          <w:color w:val="auto"/>
          <w:sz w:val="32"/>
          <w:szCs w:val="32"/>
          <w:lang w:val="en-US" w:eastAsia="zh-CN"/>
        </w:rPr>
        <w:t>日县政府第10次常务会议研究通过，现印发给你们，请遵照执行。</w:t>
      </w:r>
    </w:p>
    <w:p w14:paraId="23CCB945">
      <w:pPr>
        <w:keepNext w:val="0"/>
        <w:keepLines w:val="0"/>
        <w:pageBreakBefore w:val="0"/>
        <w:widowControl w:val="0"/>
        <w:kinsoku/>
        <w:wordWrap/>
        <w:overflowPunct/>
        <w:topLinePunct w:val="0"/>
        <w:autoSpaceDE/>
        <w:autoSpaceDN/>
        <w:bidi w:val="0"/>
        <w:adjustRightInd/>
        <w:snapToGrid/>
        <w:spacing w:line="590" w:lineRule="exact"/>
        <w:ind w:firstLine="640"/>
        <w:jc w:val="both"/>
        <w:textAlignment w:val="auto"/>
        <w:rPr>
          <w:rFonts w:hint="eastAsia" w:ascii="方正仿宋_GBK" w:hAnsi="方正仿宋_GBK" w:eastAsia="方正仿宋_GBK" w:cs="方正仿宋_GBK"/>
          <w:color w:val="auto"/>
          <w:sz w:val="32"/>
          <w:szCs w:val="32"/>
          <w:lang w:val="en-US" w:eastAsia="zh-CN"/>
        </w:rPr>
      </w:pPr>
    </w:p>
    <w:p w14:paraId="5F1FCBB1">
      <w:pPr>
        <w:keepNext w:val="0"/>
        <w:keepLines w:val="0"/>
        <w:pageBreakBefore w:val="0"/>
        <w:widowControl w:val="0"/>
        <w:kinsoku/>
        <w:wordWrap/>
        <w:overflowPunct/>
        <w:topLinePunct w:val="0"/>
        <w:autoSpaceDE/>
        <w:autoSpaceDN/>
        <w:bidi w:val="0"/>
        <w:adjustRightInd/>
        <w:snapToGrid/>
        <w:spacing w:line="590" w:lineRule="exact"/>
        <w:ind w:firstLine="640"/>
        <w:jc w:val="both"/>
        <w:textAlignment w:val="auto"/>
        <w:rPr>
          <w:rFonts w:hint="eastAsia" w:ascii="方正仿宋_GBK" w:hAnsi="方正仿宋_GBK" w:eastAsia="方正仿宋_GBK" w:cs="方正仿宋_GBK"/>
          <w:color w:val="auto"/>
          <w:sz w:val="32"/>
          <w:szCs w:val="32"/>
          <w:lang w:val="en-US" w:eastAsia="zh-CN"/>
        </w:rPr>
      </w:pPr>
    </w:p>
    <w:p w14:paraId="78D11410">
      <w:pPr>
        <w:keepNext w:val="0"/>
        <w:keepLines w:val="0"/>
        <w:pageBreakBefore w:val="0"/>
        <w:widowControl w:val="0"/>
        <w:kinsoku/>
        <w:wordWrap w:val="0"/>
        <w:overflowPunct/>
        <w:topLinePunct w:val="0"/>
        <w:autoSpaceDE/>
        <w:autoSpaceDN/>
        <w:bidi w:val="0"/>
        <w:adjustRightInd/>
        <w:snapToGrid/>
        <w:spacing w:line="590" w:lineRule="exact"/>
        <w:jc w:val="right"/>
        <w:textAlignment w:val="auto"/>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歙县人民政府办公室</w:t>
      </w:r>
      <w:r>
        <w:rPr>
          <w:rFonts w:hint="eastAsia" w:ascii="方正仿宋_GBK" w:hAnsi="方正仿宋_GBK" w:eastAsia="方正仿宋_GBK" w:cs="方正仿宋_GBK"/>
          <w:color w:val="auto"/>
          <w:sz w:val="32"/>
          <w:szCs w:val="32"/>
          <w:lang w:val="en-US" w:eastAsia="zh-CN"/>
        </w:rPr>
        <w:t xml:space="preserve">    </w:t>
      </w:r>
    </w:p>
    <w:p w14:paraId="5C1508E5">
      <w:pPr>
        <w:keepNext w:val="0"/>
        <w:keepLines w:val="0"/>
        <w:pageBreakBefore w:val="0"/>
        <w:widowControl w:val="0"/>
        <w:kinsoku/>
        <w:wordWrap w:val="0"/>
        <w:overflowPunct/>
        <w:topLinePunct w:val="0"/>
        <w:autoSpaceDE/>
        <w:autoSpaceDN/>
        <w:bidi w:val="0"/>
        <w:adjustRightInd/>
        <w:snapToGrid/>
        <w:spacing w:line="590" w:lineRule="exact"/>
        <w:jc w:val="right"/>
        <w:textAlignment w:val="auto"/>
        <w:rPr>
          <w:rFonts w:hint="eastAsia" w:ascii="方正仿宋_GBK" w:hAnsi="方正仿宋_GBK" w:eastAsia="方正仿宋_GBK" w:cs="方正仿宋_GBK"/>
          <w:color w:val="auto"/>
          <w:sz w:val="32"/>
          <w:szCs w:val="32"/>
          <w:lang w:val="en-US" w:eastAsia="zh-CN"/>
        </w:rPr>
      </w:pPr>
      <w:r>
        <w:rPr>
          <w:rFonts w:hint="default" w:ascii="Times New Roman" w:hAnsi="Times New Roman" w:eastAsia="方正仿宋_GBK" w:cs="Times New Roman"/>
          <w:color w:val="auto"/>
          <w:sz w:val="32"/>
          <w:szCs w:val="32"/>
          <w:lang w:val="en-US" w:eastAsia="zh-CN"/>
        </w:rPr>
        <w:t>2022</w:t>
      </w:r>
      <w:r>
        <w:rPr>
          <w:rFonts w:hint="eastAsia" w:ascii="方正仿宋_GBK" w:hAnsi="方正仿宋_GBK" w:eastAsia="方正仿宋_GBK" w:cs="方正仿宋_GBK"/>
          <w:color w:val="auto"/>
          <w:sz w:val="32"/>
          <w:szCs w:val="32"/>
          <w:lang w:val="en-US" w:eastAsia="zh-CN"/>
        </w:rPr>
        <w:t>年</w:t>
      </w:r>
      <w:r>
        <w:rPr>
          <w:rFonts w:hint="default" w:ascii="Times New Roman" w:hAnsi="Times New Roman" w:eastAsia="方正仿宋_GBK" w:cs="Times New Roman"/>
          <w:color w:val="auto"/>
          <w:sz w:val="32"/>
          <w:szCs w:val="32"/>
          <w:lang w:val="en-US" w:eastAsia="zh-CN"/>
        </w:rPr>
        <w:t>9</w:t>
      </w:r>
      <w:r>
        <w:rPr>
          <w:rFonts w:hint="eastAsia" w:ascii="方正仿宋_GBK" w:hAnsi="方正仿宋_GBK" w:eastAsia="方正仿宋_GBK" w:cs="方正仿宋_GBK"/>
          <w:color w:val="auto"/>
          <w:sz w:val="32"/>
          <w:szCs w:val="32"/>
          <w:lang w:val="en-US" w:eastAsia="zh-CN"/>
        </w:rPr>
        <w:t>月</w:t>
      </w:r>
      <w:r>
        <w:rPr>
          <w:rFonts w:hint="default" w:ascii="Times New Roman" w:hAnsi="Times New Roman" w:eastAsia="方正仿宋_GBK" w:cs="Times New Roman"/>
          <w:color w:val="auto"/>
          <w:sz w:val="32"/>
          <w:szCs w:val="32"/>
          <w:lang w:val="en-US" w:eastAsia="zh-CN"/>
        </w:rPr>
        <w:t>27</w:t>
      </w:r>
      <w:r>
        <w:rPr>
          <w:rFonts w:hint="eastAsia" w:ascii="方正仿宋_GBK" w:hAnsi="方正仿宋_GBK" w:eastAsia="方正仿宋_GBK" w:cs="方正仿宋_GBK"/>
          <w:color w:val="auto"/>
          <w:sz w:val="32"/>
          <w:szCs w:val="32"/>
          <w:lang w:val="en-US" w:eastAsia="zh-CN"/>
        </w:rPr>
        <w:t>日</w:t>
      </w:r>
      <w:r>
        <w:rPr>
          <w:rFonts w:hint="eastAsia" w:ascii="方正仿宋_GBK" w:hAnsi="方正仿宋_GBK" w:eastAsia="方正仿宋_GBK" w:cs="方正仿宋_GBK"/>
          <w:color w:val="auto"/>
          <w:sz w:val="32"/>
          <w:szCs w:val="32"/>
          <w:lang w:val="en-US" w:eastAsia="zh-CN"/>
        </w:rPr>
        <w:t xml:space="preserve">     </w:t>
      </w:r>
    </w:p>
    <w:p w14:paraId="676B8C05">
      <w:pPr>
        <w:pStyle w:val="2"/>
        <w:keepNext w:val="0"/>
        <w:keepLines w:val="0"/>
        <w:pageBreakBefore w:val="0"/>
        <w:widowControl w:val="0"/>
        <w:kinsoku/>
        <w:wordWrap/>
        <w:overflowPunct/>
        <w:topLinePunct w:val="0"/>
        <w:autoSpaceDE/>
        <w:autoSpaceDN/>
        <w:bidi w:val="0"/>
        <w:adjustRightInd/>
        <w:snapToGrid/>
        <w:spacing w:line="590" w:lineRule="exact"/>
        <w:ind w:left="0" w:leftChars="0" w:firstLine="0" w:firstLineChars="0"/>
        <w:textAlignment w:val="auto"/>
        <w:rPr>
          <w:rFonts w:hint="eastAsia" w:ascii="方正仿宋_GBK" w:hAnsi="方正仿宋_GBK" w:eastAsia="方正仿宋_GBK" w:cs="方正仿宋_GBK"/>
          <w:b w:val="0"/>
          <w:bCs w:val="0"/>
          <w:color w:val="auto"/>
          <w:sz w:val="44"/>
          <w:szCs w:val="44"/>
          <w:lang w:val="en-US" w:eastAsia="zh-CN"/>
        </w:rPr>
      </w:pPr>
    </w:p>
    <w:p w14:paraId="34D96BF0">
      <w:pPr>
        <w:pStyle w:val="2"/>
        <w:keepNext w:val="0"/>
        <w:keepLines w:val="0"/>
        <w:pageBreakBefore w:val="0"/>
        <w:widowControl w:val="0"/>
        <w:kinsoku/>
        <w:wordWrap/>
        <w:overflowPunct/>
        <w:topLinePunct w:val="0"/>
        <w:autoSpaceDE/>
        <w:autoSpaceDN/>
        <w:bidi w:val="0"/>
        <w:adjustRightInd/>
        <w:snapToGrid/>
        <w:spacing w:line="590" w:lineRule="exact"/>
        <w:ind w:left="0" w:leftChars="0" w:firstLine="0" w:firstLineChars="0"/>
        <w:textAlignment w:val="auto"/>
        <w:rPr>
          <w:rFonts w:hint="eastAsia" w:ascii="方正仿宋_GBK" w:hAnsi="方正仿宋_GBK" w:eastAsia="方正仿宋_GBK" w:cs="方正仿宋_GBK"/>
          <w:b w:val="0"/>
          <w:bCs w:val="0"/>
          <w:color w:val="auto"/>
          <w:sz w:val="44"/>
          <w:szCs w:val="44"/>
          <w:lang w:val="en-US" w:eastAsia="zh-CN"/>
        </w:rPr>
      </w:pPr>
    </w:p>
    <w:p w14:paraId="45685543">
      <w:pPr>
        <w:pStyle w:val="2"/>
        <w:keepNext w:val="0"/>
        <w:keepLines w:val="0"/>
        <w:pageBreakBefore w:val="0"/>
        <w:widowControl w:val="0"/>
        <w:kinsoku/>
        <w:wordWrap/>
        <w:overflowPunct/>
        <w:topLinePunct w:val="0"/>
        <w:autoSpaceDE/>
        <w:autoSpaceDN/>
        <w:bidi w:val="0"/>
        <w:adjustRightInd/>
        <w:snapToGrid/>
        <w:spacing w:line="590" w:lineRule="exact"/>
        <w:ind w:left="0" w:leftChars="0" w:firstLine="0" w:firstLineChars="0"/>
        <w:textAlignment w:val="auto"/>
        <w:rPr>
          <w:rFonts w:hint="eastAsia" w:ascii="方正仿宋_GBK" w:hAnsi="方正仿宋_GBK" w:eastAsia="方正仿宋_GBK" w:cs="方正仿宋_GBK"/>
          <w:b w:val="0"/>
          <w:bCs w:val="0"/>
          <w:color w:val="auto"/>
          <w:sz w:val="44"/>
          <w:szCs w:val="44"/>
          <w:lang w:val="en-US" w:eastAsia="zh-CN"/>
        </w:rPr>
      </w:pPr>
    </w:p>
    <w:p w14:paraId="37FDCCB0">
      <w:pPr>
        <w:pStyle w:val="2"/>
        <w:keepNext w:val="0"/>
        <w:keepLines w:val="0"/>
        <w:pageBreakBefore w:val="0"/>
        <w:widowControl w:val="0"/>
        <w:kinsoku/>
        <w:wordWrap/>
        <w:overflowPunct/>
        <w:topLinePunct w:val="0"/>
        <w:autoSpaceDE/>
        <w:autoSpaceDN/>
        <w:bidi w:val="0"/>
        <w:adjustRightInd/>
        <w:snapToGrid/>
        <w:spacing w:line="590" w:lineRule="exact"/>
        <w:ind w:left="0" w:leftChars="0" w:firstLine="0" w:firstLineChars="0"/>
        <w:textAlignment w:val="auto"/>
        <w:rPr>
          <w:rFonts w:hint="eastAsia" w:ascii="方正仿宋_GBK" w:hAnsi="方正仿宋_GBK" w:eastAsia="方正仿宋_GBK" w:cs="方正仿宋_GBK"/>
          <w:b w:val="0"/>
          <w:bCs w:val="0"/>
          <w:color w:val="auto"/>
          <w:sz w:val="44"/>
          <w:szCs w:val="44"/>
          <w:lang w:val="en-US" w:eastAsia="zh-CN"/>
        </w:rPr>
      </w:pPr>
    </w:p>
    <w:p w14:paraId="762AE492">
      <w:pPr>
        <w:pStyle w:val="2"/>
        <w:keepNext w:val="0"/>
        <w:keepLines w:val="0"/>
        <w:pageBreakBefore w:val="0"/>
        <w:widowControl w:val="0"/>
        <w:kinsoku/>
        <w:wordWrap/>
        <w:overflowPunct/>
        <w:topLinePunct w:val="0"/>
        <w:autoSpaceDE/>
        <w:autoSpaceDN/>
        <w:bidi w:val="0"/>
        <w:adjustRightInd/>
        <w:snapToGrid/>
        <w:spacing w:line="590" w:lineRule="exact"/>
        <w:ind w:left="0" w:leftChars="0" w:firstLine="0" w:firstLineChars="0"/>
        <w:textAlignment w:val="auto"/>
        <w:rPr>
          <w:rFonts w:hint="eastAsia" w:ascii="方正仿宋_GBK" w:hAnsi="方正仿宋_GBK" w:eastAsia="方正仿宋_GBK" w:cs="方正仿宋_GBK"/>
          <w:b w:val="0"/>
          <w:bCs w:val="0"/>
          <w:color w:val="auto"/>
          <w:sz w:val="44"/>
          <w:szCs w:val="44"/>
          <w:lang w:val="en-US" w:eastAsia="zh-CN"/>
        </w:rPr>
      </w:pPr>
    </w:p>
    <w:p w14:paraId="14D603D8">
      <w:pPr>
        <w:pStyle w:val="2"/>
        <w:keepNext w:val="0"/>
        <w:keepLines w:val="0"/>
        <w:pageBreakBefore w:val="0"/>
        <w:widowControl w:val="0"/>
        <w:kinsoku/>
        <w:wordWrap/>
        <w:overflowPunct/>
        <w:topLinePunct w:val="0"/>
        <w:autoSpaceDE/>
        <w:autoSpaceDN/>
        <w:bidi w:val="0"/>
        <w:adjustRightInd/>
        <w:snapToGrid/>
        <w:spacing w:line="590" w:lineRule="exact"/>
        <w:ind w:left="0" w:leftChars="0" w:firstLine="0" w:firstLineChars="0"/>
        <w:textAlignment w:val="auto"/>
        <w:rPr>
          <w:rFonts w:hint="eastAsia" w:ascii="方正仿宋_GBK" w:hAnsi="方正仿宋_GBK" w:eastAsia="方正仿宋_GBK" w:cs="方正仿宋_GBK"/>
          <w:b w:val="0"/>
          <w:bCs w:val="0"/>
          <w:color w:val="auto"/>
          <w:sz w:val="44"/>
          <w:szCs w:val="44"/>
          <w:lang w:val="en-US" w:eastAsia="zh-CN"/>
        </w:rPr>
      </w:pPr>
    </w:p>
    <w:p w14:paraId="47042D67">
      <w:pPr>
        <w:pStyle w:val="2"/>
        <w:keepNext w:val="0"/>
        <w:keepLines w:val="0"/>
        <w:pageBreakBefore w:val="0"/>
        <w:widowControl w:val="0"/>
        <w:kinsoku/>
        <w:wordWrap/>
        <w:overflowPunct/>
        <w:topLinePunct w:val="0"/>
        <w:autoSpaceDE/>
        <w:autoSpaceDN/>
        <w:bidi w:val="0"/>
        <w:adjustRightInd/>
        <w:snapToGrid/>
        <w:spacing w:line="590" w:lineRule="exact"/>
        <w:ind w:left="0" w:leftChars="0" w:firstLine="0" w:firstLineChars="0"/>
        <w:textAlignment w:val="auto"/>
        <w:rPr>
          <w:rFonts w:hint="eastAsia" w:ascii="方正仿宋_GBK" w:hAnsi="方正仿宋_GBK" w:eastAsia="方正仿宋_GBK" w:cs="方正仿宋_GBK"/>
          <w:b w:val="0"/>
          <w:bCs w:val="0"/>
          <w:color w:val="auto"/>
          <w:sz w:val="44"/>
          <w:szCs w:val="44"/>
          <w:lang w:val="en-US" w:eastAsia="zh-CN"/>
        </w:rPr>
      </w:pPr>
    </w:p>
    <w:p w14:paraId="1463A709">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eastAsia" w:ascii="方正仿宋_GBK" w:hAnsi="方正仿宋_GBK" w:eastAsia="方正仿宋_GBK" w:cs="方正仿宋_GBK"/>
          <w:b w:val="0"/>
          <w:bCs w:val="0"/>
          <w:color w:val="auto"/>
          <w:sz w:val="44"/>
          <w:szCs w:val="44"/>
          <w:lang w:val="en-US" w:eastAsia="zh-CN"/>
        </w:rPr>
      </w:pPr>
    </w:p>
    <w:p w14:paraId="59EABC98">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eastAsia" w:ascii="方正小标宋_GBK" w:hAnsi="方正小标宋_GBK" w:eastAsia="方正小标宋_GBK" w:cs="方正小标宋_GBK"/>
          <w:b w:val="0"/>
          <w:bCs w:val="0"/>
          <w:color w:val="auto"/>
          <w:sz w:val="44"/>
          <w:szCs w:val="44"/>
          <w:lang w:val="en-US" w:eastAsia="zh-CN"/>
        </w:rPr>
      </w:pPr>
      <w:r>
        <w:rPr>
          <w:rFonts w:hint="eastAsia" w:ascii="方正小标宋_GBK" w:hAnsi="方正小标宋_GBK" w:eastAsia="方正小标宋_GBK" w:cs="方正小标宋_GBK"/>
          <w:b w:val="0"/>
          <w:bCs w:val="0"/>
          <w:color w:val="auto"/>
          <w:sz w:val="44"/>
          <w:szCs w:val="44"/>
          <w:lang w:val="en-US" w:eastAsia="zh-CN"/>
        </w:rPr>
        <w:t>歙县建设用地容积率管理办法</w:t>
      </w:r>
    </w:p>
    <w:p w14:paraId="65E0CECB">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color w:val="auto"/>
          <w:sz w:val="32"/>
          <w:szCs w:val="32"/>
        </w:rPr>
      </w:pPr>
    </w:p>
    <w:p w14:paraId="131FB362">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color w:val="auto"/>
          <w:sz w:val="32"/>
          <w:szCs w:val="32"/>
          <w:lang w:val="en-US" w:eastAsia="zh-CN"/>
        </w:rPr>
      </w:pPr>
      <w:r>
        <w:rPr>
          <w:rFonts w:hint="eastAsia" w:ascii="方正黑体_GBK" w:hAnsi="方正黑体_GBK" w:eastAsia="方正黑体_GBK" w:cs="方正黑体_GBK"/>
          <w:b w:val="0"/>
          <w:bCs w:val="0"/>
          <w:color w:val="auto"/>
          <w:sz w:val="32"/>
          <w:szCs w:val="32"/>
        </w:rPr>
        <w:t>第一条</w:t>
      </w:r>
      <w:r>
        <w:rPr>
          <w:rFonts w:hint="eastAsia" w:ascii="方正仿宋_GBK" w:hAnsi="方正仿宋_GBK" w:eastAsia="方正仿宋_GBK" w:cs="方正仿宋_GBK"/>
          <w:b w:val="0"/>
          <w:bCs w:val="0"/>
          <w:color w:val="auto"/>
          <w:sz w:val="32"/>
          <w:szCs w:val="32"/>
          <w:lang w:val="en-US" w:eastAsia="zh-CN"/>
        </w:rPr>
        <w:t xml:space="preserve">  </w:t>
      </w:r>
      <w:r>
        <w:rPr>
          <w:rFonts w:hint="eastAsia" w:ascii="方正仿宋_GBK" w:hAnsi="方正仿宋_GBK" w:eastAsia="方正仿宋_GBK" w:cs="方正仿宋_GBK"/>
          <w:color w:val="auto"/>
          <w:sz w:val="32"/>
          <w:szCs w:val="32"/>
          <w:lang w:val="en-US" w:eastAsia="zh-CN"/>
        </w:rPr>
        <w:t>为进一步规范建设用地容积率的管理，根据《中华人民共和国城乡规划法》和《关于印发&lt;建设用地容积率管理办法&gt;的通知》（建规</w:t>
      </w:r>
      <w:r>
        <w:rPr>
          <w:rFonts w:hint="default" w:ascii="Times New Roman" w:hAnsi="Times New Roman" w:eastAsia="方正仿宋_GBK" w:cs="Times New Roman"/>
          <w:color w:val="auto"/>
          <w:sz w:val="32"/>
          <w:szCs w:val="32"/>
          <w:lang w:val="en-US" w:eastAsia="zh-CN"/>
        </w:rPr>
        <w:t>〔2012〕22</w:t>
      </w:r>
      <w:r>
        <w:rPr>
          <w:rFonts w:hint="eastAsia" w:ascii="方正仿宋_GBK" w:hAnsi="方正仿宋_GBK" w:eastAsia="方正仿宋_GBK" w:cs="方正仿宋_GBK"/>
          <w:color w:val="auto"/>
          <w:sz w:val="32"/>
          <w:szCs w:val="32"/>
          <w:lang w:val="en-US" w:eastAsia="zh-CN"/>
        </w:rPr>
        <w:t>号）等有关规定，结合我县实际情况，制定本办法。</w:t>
      </w:r>
    </w:p>
    <w:p w14:paraId="22A2A706">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黑体_GBK" w:hAnsi="方正黑体_GBK" w:eastAsia="方正黑体_GBK" w:cs="方正黑体_GBK"/>
          <w:b w:val="0"/>
          <w:bCs w:val="0"/>
          <w:color w:val="auto"/>
          <w:sz w:val="32"/>
          <w:szCs w:val="32"/>
        </w:rPr>
        <w:t>第二条</w:t>
      </w:r>
      <w:r>
        <w:rPr>
          <w:rFonts w:hint="eastAsia" w:ascii="方正仿宋_GBK" w:hAnsi="方正仿宋_GBK" w:eastAsia="方正仿宋_GBK" w:cs="方正仿宋_GBK"/>
          <w:b w:val="0"/>
          <w:bCs w:val="0"/>
          <w:color w:val="auto"/>
          <w:sz w:val="32"/>
          <w:szCs w:val="32"/>
          <w:lang w:val="en-US" w:eastAsia="zh-CN"/>
        </w:rPr>
        <w:t xml:space="preserve">  </w:t>
      </w:r>
      <w:r>
        <w:rPr>
          <w:rFonts w:hint="eastAsia" w:ascii="方正仿宋_GBK" w:hAnsi="方正仿宋_GBK" w:eastAsia="方正仿宋_GBK" w:cs="方正仿宋_GBK"/>
          <w:color w:val="auto"/>
          <w:sz w:val="32"/>
          <w:szCs w:val="32"/>
          <w:lang w:val="en-US" w:eastAsia="zh-CN"/>
        </w:rPr>
        <w:t>在歙县规划区域内以划拨或出让方式提供国有土地使用权的建设用地的容积率管理，适用本办法。</w:t>
      </w:r>
    </w:p>
    <w:p w14:paraId="5CEB9A90">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color w:val="auto"/>
          <w:sz w:val="32"/>
          <w:szCs w:val="32"/>
          <w:lang w:val="en-US" w:eastAsia="zh-CN"/>
        </w:rPr>
      </w:pPr>
      <w:r>
        <w:rPr>
          <w:rFonts w:hint="eastAsia" w:ascii="方正黑体_GBK" w:hAnsi="方正黑体_GBK" w:eastAsia="方正黑体_GBK" w:cs="方正黑体_GBK"/>
          <w:b w:val="0"/>
          <w:bCs w:val="0"/>
          <w:color w:val="auto"/>
          <w:sz w:val="32"/>
          <w:szCs w:val="32"/>
        </w:rPr>
        <w:t>第三条</w:t>
      </w:r>
      <w:r>
        <w:rPr>
          <w:rFonts w:hint="eastAsia" w:ascii="方正仿宋_GBK" w:hAnsi="方正仿宋_GBK" w:eastAsia="方正仿宋_GBK" w:cs="方正仿宋_GBK"/>
          <w:b w:val="0"/>
          <w:bCs w:val="0"/>
          <w:color w:val="auto"/>
          <w:sz w:val="32"/>
          <w:szCs w:val="32"/>
        </w:rPr>
        <w:t> </w:t>
      </w:r>
      <w:r>
        <w:rPr>
          <w:rFonts w:hint="eastAsia" w:ascii="方正仿宋_GBK" w:hAnsi="方正仿宋_GBK" w:eastAsia="方正仿宋_GBK" w:cs="方正仿宋_GBK"/>
          <w:b w:val="0"/>
          <w:bCs w:val="0"/>
          <w:color w:val="auto"/>
          <w:sz w:val="32"/>
          <w:szCs w:val="32"/>
          <w:lang w:val="en-US" w:eastAsia="zh-CN"/>
        </w:rPr>
        <w:t xml:space="preserve">  </w:t>
      </w:r>
      <w:r>
        <w:rPr>
          <w:rFonts w:hint="eastAsia" w:ascii="方正仿宋_GBK" w:hAnsi="方正仿宋_GBK" w:eastAsia="方正仿宋_GBK" w:cs="方正仿宋_GBK"/>
          <w:color w:val="auto"/>
          <w:sz w:val="32"/>
          <w:szCs w:val="32"/>
          <w:lang w:val="en-US" w:eastAsia="zh-CN"/>
        </w:rPr>
        <w:t>本办法所称容积率是指一定地块内，总计容建筑面积和总用地面积的比值。</w:t>
      </w:r>
    </w:p>
    <w:p w14:paraId="7ADCC6E9">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 xml:space="preserve">我县建设用地容积率计算规则，依据《黄山市建设项目容积率指标计算规则》执行。 </w:t>
      </w:r>
    </w:p>
    <w:p w14:paraId="0BEE3F6E">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color w:val="auto"/>
          <w:sz w:val="32"/>
          <w:szCs w:val="32"/>
          <w:lang w:val="en-US" w:eastAsia="zh-CN"/>
        </w:rPr>
      </w:pPr>
      <w:r>
        <w:rPr>
          <w:rFonts w:hint="eastAsia" w:ascii="方正黑体_GBK" w:hAnsi="方正黑体_GBK" w:eastAsia="方正黑体_GBK" w:cs="方正黑体_GBK"/>
          <w:b w:val="0"/>
          <w:bCs w:val="0"/>
          <w:color w:val="auto"/>
          <w:sz w:val="32"/>
          <w:szCs w:val="32"/>
          <w:lang w:val="en-US" w:eastAsia="zh-CN"/>
        </w:rPr>
        <w:t xml:space="preserve">第四条 </w:t>
      </w:r>
      <w:r>
        <w:rPr>
          <w:rFonts w:hint="eastAsia" w:ascii="方正仿宋_GBK" w:hAnsi="方正仿宋_GBK" w:eastAsia="方正仿宋_GBK" w:cs="方正仿宋_GBK"/>
          <w:b w:val="0"/>
          <w:bCs w:val="0"/>
          <w:color w:val="auto"/>
          <w:sz w:val="32"/>
          <w:szCs w:val="32"/>
          <w:lang w:val="en-US" w:eastAsia="zh-CN"/>
        </w:rPr>
        <w:t xml:space="preserve"> </w:t>
      </w:r>
      <w:r>
        <w:rPr>
          <w:rFonts w:hint="eastAsia" w:ascii="方正仿宋_GBK" w:hAnsi="方正仿宋_GBK" w:eastAsia="方正仿宋_GBK" w:cs="方正仿宋_GBK"/>
          <w:color w:val="auto"/>
          <w:sz w:val="32"/>
          <w:szCs w:val="32"/>
          <w:lang w:val="en-US" w:eastAsia="zh-CN"/>
        </w:rPr>
        <w:t>县自然资源和规划局负责本行政区域城镇规划区内建设用地容积率管理工作。住房和城乡建设、城市管理行政执法等有关部门按照各自职责，协同做好建设用地容积率管理工作。</w:t>
      </w:r>
    </w:p>
    <w:p w14:paraId="2929F617">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color w:val="auto"/>
          <w:sz w:val="32"/>
          <w:szCs w:val="32"/>
          <w:lang w:val="en-US" w:eastAsia="zh-CN"/>
        </w:rPr>
      </w:pPr>
      <w:r>
        <w:rPr>
          <w:rFonts w:hint="eastAsia" w:ascii="方正黑体_GBK" w:hAnsi="方正黑体_GBK" w:eastAsia="方正黑体_GBK" w:cs="方正黑体_GBK"/>
          <w:b w:val="0"/>
          <w:bCs w:val="0"/>
          <w:color w:val="auto"/>
          <w:sz w:val="32"/>
          <w:szCs w:val="32"/>
          <w:lang w:val="en-US" w:eastAsia="zh-CN"/>
        </w:rPr>
        <w:t>第五条</w:t>
      </w:r>
      <w:r>
        <w:rPr>
          <w:rFonts w:hint="eastAsia" w:ascii="方正仿宋_GBK" w:hAnsi="方正仿宋_GBK" w:eastAsia="方正仿宋_GBK" w:cs="方正仿宋_GBK"/>
          <w:b w:val="0"/>
          <w:bCs w:val="0"/>
          <w:color w:val="auto"/>
          <w:sz w:val="32"/>
          <w:szCs w:val="32"/>
          <w:lang w:val="en-US" w:eastAsia="zh-CN"/>
        </w:rPr>
        <w:t xml:space="preserve">  </w:t>
      </w:r>
      <w:r>
        <w:rPr>
          <w:rFonts w:hint="eastAsia" w:ascii="方正仿宋_GBK" w:hAnsi="方正仿宋_GBK" w:eastAsia="方正仿宋_GBK" w:cs="方正仿宋_GBK"/>
          <w:color w:val="auto"/>
          <w:sz w:val="32"/>
          <w:szCs w:val="32"/>
          <w:lang w:val="en-US" w:eastAsia="zh-CN"/>
        </w:rPr>
        <w:t>任何单位和个人都应当严格按照土地供地规定的容积率进行开发建设，不得擅自更改。</w:t>
      </w:r>
    </w:p>
    <w:p w14:paraId="1E61A48E">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符合下列情形之一的，方可进行容积率调整：</w:t>
      </w:r>
    </w:p>
    <w:p w14:paraId="3D8DE445">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（一）</w:t>
      </w:r>
      <w:r>
        <w:rPr>
          <w:rFonts w:hint="eastAsia" w:ascii="方正仿宋_GBK" w:hAnsi="方正仿宋_GBK" w:eastAsia="方正仿宋_GBK" w:cs="方正仿宋_GBK"/>
          <w:color w:val="auto"/>
          <w:sz w:val="32"/>
          <w:szCs w:val="32"/>
          <w:lang w:val="en-US" w:eastAsia="zh-CN"/>
        </w:rPr>
        <w:t>因国土空间规划（县、镇）、详细规划和专项规划调整或者修编，造成土地规划设计条件发生变化的</w:t>
      </w:r>
      <w:r>
        <w:rPr>
          <w:rFonts w:hint="eastAsia" w:ascii="方正仿宋_GBK" w:hAnsi="方正仿宋_GBK" w:eastAsia="方正仿宋_GBK" w:cs="方正仿宋_GBK"/>
          <w:color w:val="auto"/>
          <w:sz w:val="32"/>
          <w:szCs w:val="32"/>
          <w:lang w:val="en-US" w:eastAsia="zh-CN"/>
        </w:rPr>
        <w:t>；</w:t>
      </w:r>
    </w:p>
    <w:p w14:paraId="326D913F">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（二）</w:t>
      </w:r>
      <w:r>
        <w:rPr>
          <w:rFonts w:hint="eastAsia" w:ascii="方正仿宋_GBK" w:hAnsi="方正仿宋_GBK" w:eastAsia="方正仿宋_GBK" w:cs="方正仿宋_GBK"/>
          <w:color w:val="auto"/>
          <w:sz w:val="32"/>
          <w:szCs w:val="32"/>
          <w:lang w:val="en-US" w:eastAsia="zh-CN"/>
        </w:rPr>
        <w:t>因城乡公共事业、基础设施建设等公共利益需要导致土地规划设计条件发生变化的</w:t>
      </w:r>
      <w:r>
        <w:rPr>
          <w:rFonts w:hint="eastAsia" w:ascii="方正仿宋_GBK" w:hAnsi="方正仿宋_GBK" w:eastAsia="方正仿宋_GBK" w:cs="方正仿宋_GBK"/>
          <w:color w:val="auto"/>
          <w:sz w:val="32"/>
          <w:szCs w:val="32"/>
          <w:lang w:val="en-US" w:eastAsia="zh-CN"/>
        </w:rPr>
        <w:t>；</w:t>
      </w:r>
    </w:p>
    <w:p w14:paraId="4105A7FB">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（三）</w:t>
      </w:r>
      <w:r>
        <w:rPr>
          <w:rFonts w:hint="eastAsia" w:ascii="方正仿宋_GBK" w:hAnsi="方正仿宋_GBK" w:eastAsia="方正仿宋_GBK" w:cs="方正仿宋_GBK"/>
          <w:color w:val="auto"/>
          <w:sz w:val="32"/>
          <w:szCs w:val="32"/>
          <w:lang w:val="en-US" w:eastAsia="zh-CN"/>
        </w:rPr>
        <w:t>国家和省的有关政策发生变化需要改变土地使用条件的</w:t>
      </w:r>
      <w:r>
        <w:rPr>
          <w:rFonts w:hint="eastAsia" w:ascii="方正仿宋_GBK" w:hAnsi="方正仿宋_GBK" w:eastAsia="方正仿宋_GBK" w:cs="方正仿宋_GBK"/>
          <w:color w:val="auto"/>
          <w:sz w:val="32"/>
          <w:szCs w:val="32"/>
          <w:lang w:val="en-US" w:eastAsia="zh-CN"/>
        </w:rPr>
        <w:t>；</w:t>
      </w:r>
    </w:p>
    <w:p w14:paraId="75CB438C">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（四）</w:t>
      </w:r>
      <w:r>
        <w:rPr>
          <w:rFonts w:hint="eastAsia" w:ascii="方正仿宋_GBK" w:hAnsi="方正仿宋_GBK" w:eastAsia="方正仿宋_GBK" w:cs="方正仿宋_GBK"/>
          <w:color w:val="auto"/>
          <w:sz w:val="32"/>
          <w:szCs w:val="32"/>
          <w:lang w:val="en-US" w:eastAsia="zh-CN"/>
        </w:rPr>
        <w:t>法律、法规规定的其他情形。</w:t>
      </w:r>
    </w:p>
    <w:p w14:paraId="1A0FF57E">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color w:val="auto"/>
          <w:sz w:val="32"/>
          <w:szCs w:val="32"/>
          <w:lang w:val="en-US" w:eastAsia="zh-CN"/>
        </w:rPr>
      </w:pPr>
      <w:r>
        <w:rPr>
          <w:rFonts w:hint="eastAsia" w:ascii="方正黑体_GBK" w:hAnsi="方正黑体_GBK" w:eastAsia="方正黑体_GBK" w:cs="方正黑体_GBK"/>
          <w:b w:val="0"/>
          <w:bCs w:val="0"/>
          <w:color w:val="auto"/>
          <w:sz w:val="32"/>
          <w:szCs w:val="32"/>
          <w:lang w:val="en-US" w:eastAsia="zh-CN"/>
        </w:rPr>
        <w:t xml:space="preserve">第六条 </w:t>
      </w:r>
      <w:r>
        <w:rPr>
          <w:rFonts w:hint="eastAsia" w:ascii="方正仿宋_GBK" w:hAnsi="方正仿宋_GBK" w:eastAsia="方正仿宋_GBK" w:cs="方正仿宋_GBK"/>
          <w:color w:val="auto"/>
          <w:kern w:val="2"/>
          <w:sz w:val="32"/>
          <w:szCs w:val="32"/>
          <w:lang w:val="en-US" w:eastAsia="zh-CN" w:bidi="ar-SA"/>
        </w:rPr>
        <w:t xml:space="preserve"> </w:t>
      </w:r>
      <w:r>
        <w:rPr>
          <w:rFonts w:hint="eastAsia" w:ascii="方正仿宋_GBK" w:hAnsi="方正仿宋_GBK" w:eastAsia="方正仿宋_GBK" w:cs="方正仿宋_GBK"/>
          <w:color w:val="auto"/>
          <w:sz w:val="32"/>
          <w:szCs w:val="32"/>
          <w:lang w:val="en-US" w:eastAsia="zh-CN"/>
        </w:rPr>
        <w:t>容积率的调整，按住建部《关于印发&lt;建设用地容积率管理办法&gt;的通知》（建规</w:t>
      </w:r>
      <w:r>
        <w:rPr>
          <w:rFonts w:hint="default" w:ascii="Times New Roman" w:hAnsi="Times New Roman" w:eastAsia="方正仿宋_GBK" w:cs="Times New Roman"/>
          <w:color w:val="auto"/>
          <w:sz w:val="32"/>
          <w:szCs w:val="32"/>
          <w:lang w:val="en-US" w:eastAsia="zh-CN"/>
        </w:rPr>
        <w:t>〔2012〕22</w:t>
      </w:r>
      <w:r>
        <w:rPr>
          <w:rFonts w:hint="eastAsia" w:ascii="方正仿宋_GBK" w:hAnsi="方正仿宋_GBK" w:eastAsia="方正仿宋_GBK" w:cs="方正仿宋_GBK"/>
          <w:color w:val="auto"/>
          <w:sz w:val="32"/>
          <w:szCs w:val="32"/>
          <w:lang w:val="en-US" w:eastAsia="zh-CN"/>
        </w:rPr>
        <w:t>号）相关要求和程序进行办理。</w:t>
      </w:r>
    </w:p>
    <w:p w14:paraId="4326286F">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left"/>
        <w:textAlignment w:val="auto"/>
        <w:rPr>
          <w:rFonts w:hint="eastAsia" w:ascii="方正仿宋_GBK" w:hAnsi="方正仿宋_GBK" w:eastAsia="方正仿宋_GBK" w:cs="方正仿宋_GBK"/>
          <w:color w:val="auto"/>
          <w:sz w:val="32"/>
          <w:szCs w:val="32"/>
          <w:lang w:val="en-US" w:eastAsia="zh-CN"/>
        </w:rPr>
      </w:pPr>
      <w:r>
        <w:rPr>
          <w:rFonts w:hint="eastAsia" w:ascii="方正黑体_GBK" w:hAnsi="方正黑体_GBK" w:eastAsia="方正黑体_GBK" w:cs="方正黑体_GBK"/>
          <w:b w:val="0"/>
          <w:bCs w:val="0"/>
          <w:color w:val="auto"/>
          <w:sz w:val="32"/>
          <w:szCs w:val="32"/>
          <w:lang w:val="en-US" w:eastAsia="zh-CN"/>
        </w:rPr>
        <w:t>第七条</w:t>
      </w:r>
      <w:r>
        <w:rPr>
          <w:rFonts w:hint="eastAsia" w:ascii="方正仿宋_GBK" w:hAnsi="方正仿宋_GBK" w:eastAsia="方正仿宋_GBK" w:cs="方正仿宋_GBK"/>
          <w:b w:val="0"/>
          <w:bCs w:val="0"/>
          <w:color w:val="auto"/>
          <w:sz w:val="32"/>
          <w:szCs w:val="32"/>
          <w:lang w:val="en-US" w:eastAsia="zh-CN"/>
        </w:rPr>
        <w:t xml:space="preserve"> </w:t>
      </w:r>
      <w:r>
        <w:rPr>
          <w:rFonts w:hint="eastAsia" w:ascii="方正仿宋_GBK" w:hAnsi="方正仿宋_GBK" w:eastAsia="方正仿宋_GBK" w:cs="方正仿宋_GBK"/>
          <w:color w:val="auto"/>
          <w:kern w:val="2"/>
          <w:sz w:val="32"/>
          <w:szCs w:val="32"/>
          <w:lang w:val="en-US" w:eastAsia="zh-CN" w:bidi="ar-SA"/>
        </w:rPr>
        <w:t xml:space="preserve"> </w:t>
      </w:r>
      <w:r>
        <w:rPr>
          <w:rFonts w:hint="eastAsia" w:ascii="方正仿宋_GBK" w:hAnsi="方正仿宋_GBK" w:eastAsia="方正仿宋_GBK" w:cs="方正仿宋_GBK"/>
          <w:color w:val="auto"/>
          <w:sz w:val="32"/>
          <w:szCs w:val="32"/>
          <w:lang w:val="en-US" w:eastAsia="zh-CN"/>
        </w:rPr>
        <w:t>县自然资源和规划局要加强对建设项目的管理，严格审查建设工程是否符合容积率要求。未经核实或经核实不符合容积率要求的，建设单位不得组织竣工验收。</w:t>
      </w:r>
    </w:p>
    <w:p w14:paraId="6D8C4068">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left"/>
        <w:textAlignment w:val="auto"/>
        <w:rPr>
          <w:rFonts w:hint="eastAsia" w:ascii="方正仿宋_GBK" w:hAnsi="方正仿宋_GBK" w:eastAsia="方正仿宋_GBK" w:cs="方正仿宋_GBK"/>
          <w:color w:val="auto"/>
          <w:sz w:val="32"/>
          <w:szCs w:val="32"/>
          <w:lang w:val="en-US" w:eastAsia="zh-CN"/>
        </w:rPr>
      </w:pPr>
      <w:r>
        <w:rPr>
          <w:rFonts w:hint="eastAsia" w:ascii="方正黑体_GBK" w:hAnsi="方正黑体_GBK" w:eastAsia="方正黑体_GBK" w:cs="方正黑体_GBK"/>
          <w:b w:val="0"/>
          <w:bCs w:val="0"/>
          <w:color w:val="auto"/>
          <w:sz w:val="32"/>
          <w:szCs w:val="32"/>
          <w:lang w:val="en-US" w:eastAsia="zh-CN"/>
        </w:rPr>
        <w:t>第八条</w:t>
      </w:r>
      <w:r>
        <w:rPr>
          <w:rFonts w:hint="eastAsia" w:ascii="方正仿宋_GBK" w:hAnsi="方正仿宋_GBK" w:eastAsia="方正仿宋_GBK" w:cs="方正仿宋_GBK"/>
          <w:color w:val="auto"/>
          <w:kern w:val="2"/>
          <w:sz w:val="32"/>
          <w:szCs w:val="32"/>
          <w:lang w:val="en-US" w:eastAsia="zh-CN" w:bidi="ar-SA"/>
        </w:rPr>
        <w:t xml:space="preserve">  </w:t>
      </w:r>
      <w:r>
        <w:rPr>
          <w:rFonts w:hint="eastAsia" w:ascii="方正仿宋_GBK" w:hAnsi="方正仿宋_GBK" w:eastAsia="方正仿宋_GBK" w:cs="方正仿宋_GBK"/>
          <w:color w:val="auto"/>
          <w:sz w:val="32"/>
          <w:szCs w:val="32"/>
          <w:lang w:val="en-US" w:eastAsia="zh-CN"/>
        </w:rPr>
        <w:t>因建设单位或个人原因提出申请容积率调整而不能按期开工的项目，依据土地闲置处置有关规定执行。</w:t>
      </w:r>
    </w:p>
    <w:p w14:paraId="633AD48F">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left"/>
        <w:textAlignment w:val="auto"/>
        <w:rPr>
          <w:rFonts w:hint="eastAsia" w:ascii="方正仿宋_GBK" w:hAnsi="方正仿宋_GBK" w:eastAsia="方正仿宋_GBK" w:cs="方正仿宋_GBK"/>
          <w:color w:val="auto"/>
          <w:sz w:val="32"/>
          <w:szCs w:val="32"/>
          <w:lang w:val="en-US" w:eastAsia="zh-CN"/>
        </w:rPr>
      </w:pPr>
      <w:r>
        <w:rPr>
          <w:rFonts w:hint="eastAsia" w:ascii="方正黑体_GBK" w:hAnsi="方正黑体_GBK" w:eastAsia="方正黑体_GBK" w:cs="方正黑体_GBK"/>
          <w:b w:val="0"/>
          <w:bCs w:val="0"/>
          <w:color w:val="auto"/>
          <w:sz w:val="32"/>
          <w:szCs w:val="32"/>
          <w:lang w:val="en-US" w:eastAsia="zh-CN"/>
        </w:rPr>
        <w:t>第九条</w:t>
      </w:r>
      <w:r>
        <w:rPr>
          <w:rFonts w:hint="eastAsia" w:ascii="方正仿宋_GBK" w:hAnsi="方正仿宋_GBK" w:eastAsia="方正仿宋_GBK" w:cs="方正仿宋_GBK"/>
          <w:b w:val="0"/>
          <w:bCs w:val="0"/>
          <w:color w:val="auto"/>
          <w:sz w:val="32"/>
          <w:szCs w:val="32"/>
          <w:lang w:val="en-US" w:eastAsia="zh-CN"/>
        </w:rPr>
        <w:t xml:space="preserve"> </w:t>
      </w:r>
      <w:r>
        <w:rPr>
          <w:rFonts w:hint="eastAsia" w:ascii="方正仿宋_GBK" w:hAnsi="方正仿宋_GBK" w:eastAsia="方正仿宋_GBK" w:cs="方正仿宋_GBK"/>
          <w:color w:val="auto"/>
          <w:kern w:val="2"/>
          <w:sz w:val="32"/>
          <w:szCs w:val="32"/>
          <w:lang w:val="en-US" w:eastAsia="zh-CN" w:bidi="ar-SA"/>
        </w:rPr>
        <w:t xml:space="preserve"> </w:t>
      </w:r>
      <w:r>
        <w:rPr>
          <w:rFonts w:hint="eastAsia" w:ascii="方正仿宋_GBK" w:hAnsi="方正仿宋_GBK" w:eastAsia="方正仿宋_GBK" w:cs="方正仿宋_GBK"/>
          <w:color w:val="auto"/>
          <w:sz w:val="32"/>
          <w:szCs w:val="32"/>
          <w:lang w:val="en-US" w:eastAsia="zh-CN"/>
        </w:rPr>
        <w:t>为提高土地利用效率，显著提升县开发区节约集约用地水平，按照《安徽省建设用地使用标准（</w:t>
      </w:r>
      <w:r>
        <w:rPr>
          <w:rFonts w:hint="default" w:ascii="Times New Roman" w:hAnsi="Times New Roman" w:eastAsia="方正仿宋_GBK" w:cs="Times New Roman"/>
          <w:color w:val="auto"/>
          <w:sz w:val="32"/>
          <w:szCs w:val="32"/>
          <w:lang w:val="en-US" w:eastAsia="zh-CN"/>
        </w:rPr>
        <w:t>2020</w:t>
      </w:r>
      <w:r>
        <w:rPr>
          <w:rFonts w:hint="eastAsia" w:ascii="方正仿宋_GBK" w:hAnsi="方正仿宋_GBK" w:eastAsia="方正仿宋_GBK" w:cs="方正仿宋_GBK"/>
          <w:color w:val="auto"/>
          <w:sz w:val="32"/>
          <w:szCs w:val="32"/>
          <w:lang w:val="en-US" w:eastAsia="zh-CN"/>
        </w:rPr>
        <w:t>年版）》《安徽省土地节约集约利用综合改革试点工作方案》要求，开发区综合容积率不低于</w:t>
      </w:r>
      <w:r>
        <w:rPr>
          <w:rFonts w:hint="default" w:ascii="Times New Roman" w:hAnsi="Times New Roman" w:eastAsia="方正仿宋_GBK" w:cs="Times New Roman"/>
          <w:color w:val="auto"/>
          <w:sz w:val="32"/>
          <w:szCs w:val="32"/>
          <w:lang w:val="en-US" w:eastAsia="zh-CN"/>
        </w:rPr>
        <w:t>1.2</w:t>
      </w:r>
      <w:r>
        <w:rPr>
          <w:rFonts w:hint="eastAsia" w:ascii="方正仿宋_GBK" w:hAnsi="方正仿宋_GBK" w:eastAsia="方正仿宋_GBK" w:cs="方正仿宋_GBK"/>
          <w:color w:val="auto"/>
          <w:sz w:val="32"/>
          <w:szCs w:val="32"/>
          <w:lang w:val="en-US" w:eastAsia="zh-CN"/>
        </w:rPr>
        <w:t>，</w:t>
      </w:r>
      <w:r>
        <w:rPr>
          <w:rFonts w:hint="eastAsia" w:ascii="方正仿宋_GBK" w:hAnsi="方正仿宋_GBK" w:eastAsia="方正仿宋_GBK" w:cs="方正仿宋_GBK"/>
          <w:color w:val="auto"/>
          <w:sz w:val="32"/>
          <w:szCs w:val="32"/>
          <w:lang w:val="en-US" w:eastAsia="zh-CN"/>
        </w:rPr>
        <w:t>鼓励建设四层及以上带工业电梯的高标准厂房，新建高标准厂房用地容积率一般不低于</w:t>
      </w:r>
      <w:r>
        <w:rPr>
          <w:rFonts w:hint="default" w:ascii="Times New Roman" w:hAnsi="Times New Roman" w:eastAsia="方正仿宋_GBK" w:cs="Times New Roman"/>
          <w:color w:val="auto"/>
          <w:sz w:val="32"/>
          <w:szCs w:val="32"/>
          <w:lang w:val="en-US" w:eastAsia="zh-CN"/>
        </w:rPr>
        <w:t>2.0</w:t>
      </w:r>
      <w:r>
        <w:rPr>
          <w:rFonts w:hint="eastAsia" w:ascii="方正仿宋_GBK" w:hAnsi="方正仿宋_GBK" w:eastAsia="方正仿宋_GBK" w:cs="方正仿宋_GBK"/>
          <w:color w:val="auto"/>
          <w:sz w:val="32"/>
          <w:szCs w:val="32"/>
          <w:lang w:val="en-US" w:eastAsia="zh-CN"/>
        </w:rPr>
        <w:t>，按工业用地管理的研发项目用地容积率一般不低于</w:t>
      </w:r>
      <w:r>
        <w:rPr>
          <w:rFonts w:hint="default" w:ascii="Times New Roman" w:hAnsi="Times New Roman" w:eastAsia="方正仿宋_GBK" w:cs="Times New Roman"/>
          <w:color w:val="auto"/>
          <w:sz w:val="32"/>
          <w:szCs w:val="32"/>
          <w:lang w:val="en-US" w:eastAsia="zh-CN"/>
        </w:rPr>
        <w:t>2.5</w:t>
      </w:r>
      <w:r>
        <w:rPr>
          <w:rFonts w:hint="eastAsia" w:ascii="方正仿宋_GBK" w:hAnsi="方正仿宋_GBK" w:eastAsia="方正仿宋_GBK" w:cs="方正仿宋_GBK"/>
          <w:color w:val="auto"/>
          <w:sz w:val="32"/>
          <w:szCs w:val="32"/>
          <w:lang w:val="en-US" w:eastAsia="zh-CN"/>
        </w:rPr>
        <w:t>。</w:t>
      </w:r>
    </w:p>
    <w:p w14:paraId="0DA2A632">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left"/>
        <w:textAlignment w:val="auto"/>
        <w:rPr>
          <w:rFonts w:hint="eastAsia" w:ascii="方正仿宋_GBK" w:hAnsi="方正仿宋_GBK" w:eastAsia="方正仿宋_GBK" w:cs="方正仿宋_GBK"/>
          <w:color w:val="auto"/>
          <w:sz w:val="32"/>
          <w:szCs w:val="32"/>
          <w:lang w:val="en-US" w:eastAsia="zh-CN"/>
        </w:rPr>
      </w:pPr>
      <w:r>
        <w:rPr>
          <w:rFonts w:hint="eastAsia" w:ascii="方正黑体_GBK" w:hAnsi="方正黑体_GBK" w:eastAsia="方正黑体_GBK" w:cs="方正黑体_GBK"/>
          <w:b w:val="0"/>
          <w:bCs w:val="0"/>
          <w:color w:val="auto"/>
          <w:sz w:val="32"/>
          <w:szCs w:val="32"/>
          <w:lang w:val="en-US" w:eastAsia="zh-CN"/>
        </w:rPr>
        <w:t>第十条</w:t>
      </w:r>
      <w:r>
        <w:rPr>
          <w:rFonts w:hint="eastAsia" w:ascii="方正仿宋_GBK" w:hAnsi="方正仿宋_GBK" w:eastAsia="方正仿宋_GBK" w:cs="方正仿宋_GBK"/>
          <w:b w:val="0"/>
          <w:bCs w:val="0"/>
          <w:color w:val="auto"/>
          <w:sz w:val="32"/>
          <w:szCs w:val="32"/>
          <w:lang w:val="en-US" w:eastAsia="zh-CN"/>
        </w:rPr>
        <w:t xml:space="preserve"> </w:t>
      </w:r>
      <w:r>
        <w:rPr>
          <w:rFonts w:hint="eastAsia" w:ascii="方正仿宋_GBK" w:hAnsi="方正仿宋_GBK" w:eastAsia="方正仿宋_GBK" w:cs="方正仿宋_GBK"/>
          <w:color w:val="auto"/>
          <w:sz w:val="32"/>
          <w:szCs w:val="32"/>
          <w:lang w:val="en-US" w:eastAsia="zh-CN"/>
        </w:rPr>
        <w:t xml:space="preserve"> </w:t>
      </w:r>
      <w:r>
        <w:rPr>
          <w:rFonts w:hint="eastAsia" w:ascii="方正仿宋_GBK" w:hAnsi="方正仿宋_GBK" w:eastAsia="方正仿宋_GBK" w:cs="方正仿宋_GBK"/>
          <w:color w:val="auto"/>
          <w:sz w:val="32"/>
          <w:szCs w:val="32"/>
          <w:lang w:val="en-US" w:eastAsia="zh-CN"/>
        </w:rPr>
        <w:t>本办法施行后的所有建设项目容积率的管理按本办法执行；</w:t>
      </w:r>
      <w:r>
        <w:rPr>
          <w:rFonts w:hint="default" w:ascii="Times New Roman" w:hAnsi="Times New Roman" w:eastAsia="方正仿宋_GBK" w:cs="Times New Roman"/>
          <w:color w:val="auto"/>
          <w:sz w:val="32"/>
          <w:szCs w:val="32"/>
          <w:lang w:val="en-US" w:eastAsia="zh-CN"/>
        </w:rPr>
        <w:t>2008</w:t>
      </w:r>
      <w:r>
        <w:rPr>
          <w:rFonts w:hint="eastAsia" w:ascii="方正仿宋_GBK" w:hAnsi="方正仿宋_GBK" w:eastAsia="方正仿宋_GBK" w:cs="方正仿宋_GBK"/>
          <w:color w:val="auto"/>
          <w:sz w:val="32"/>
          <w:szCs w:val="32"/>
          <w:lang w:val="en-US" w:eastAsia="zh-CN"/>
        </w:rPr>
        <w:t>年</w:t>
      </w:r>
      <w:r>
        <w:rPr>
          <w:rFonts w:hint="default" w:ascii="Times New Roman" w:hAnsi="Times New Roman" w:eastAsia="方正仿宋_GBK" w:cs="Times New Roman"/>
          <w:color w:val="auto"/>
          <w:sz w:val="32"/>
          <w:szCs w:val="32"/>
          <w:lang w:val="en-US" w:eastAsia="zh-CN"/>
        </w:rPr>
        <w:t>11</w:t>
      </w:r>
      <w:r>
        <w:rPr>
          <w:rFonts w:hint="eastAsia" w:ascii="方正仿宋_GBK" w:hAnsi="方正仿宋_GBK" w:eastAsia="方正仿宋_GBK" w:cs="方正仿宋_GBK"/>
          <w:color w:val="auto"/>
          <w:sz w:val="32"/>
          <w:szCs w:val="32"/>
          <w:lang w:val="en-US" w:eastAsia="zh-CN"/>
        </w:rPr>
        <w:t>月</w:t>
      </w:r>
      <w:r>
        <w:rPr>
          <w:rFonts w:hint="default" w:ascii="Times New Roman" w:hAnsi="Times New Roman" w:eastAsia="方正仿宋_GBK" w:cs="Times New Roman"/>
          <w:color w:val="auto"/>
          <w:sz w:val="32"/>
          <w:szCs w:val="32"/>
          <w:lang w:val="en-US" w:eastAsia="zh-CN"/>
        </w:rPr>
        <w:t>26</w:t>
      </w:r>
      <w:r>
        <w:rPr>
          <w:rFonts w:hint="eastAsia" w:ascii="方正仿宋_GBK" w:hAnsi="方正仿宋_GBK" w:eastAsia="方正仿宋_GBK" w:cs="方正仿宋_GBK"/>
          <w:color w:val="auto"/>
          <w:sz w:val="32"/>
          <w:szCs w:val="32"/>
          <w:lang w:val="en-US" w:eastAsia="zh-CN"/>
        </w:rPr>
        <w:t>日以前已经出让的土地，除规划设计条件有明确规定的外，架空层、阁楼层和地下室等不计入容积率，但不计容的建筑面积应交纳城市基础设施配套费等相关规费；</w:t>
      </w:r>
      <w:r>
        <w:rPr>
          <w:rFonts w:hint="default" w:ascii="Times New Roman" w:hAnsi="Times New Roman" w:eastAsia="方正仿宋_GBK" w:cs="Times New Roman"/>
          <w:color w:val="auto"/>
          <w:sz w:val="32"/>
          <w:szCs w:val="32"/>
          <w:lang w:val="en-US" w:eastAsia="zh-CN"/>
        </w:rPr>
        <w:t>2014</w:t>
      </w:r>
      <w:r>
        <w:rPr>
          <w:rFonts w:hint="eastAsia" w:ascii="方正仿宋_GBK" w:hAnsi="方正仿宋_GBK" w:eastAsia="方正仿宋_GBK" w:cs="方正仿宋_GBK"/>
          <w:color w:val="auto"/>
          <w:sz w:val="32"/>
          <w:szCs w:val="32"/>
          <w:lang w:val="en-US" w:eastAsia="zh-CN"/>
        </w:rPr>
        <w:t>年</w:t>
      </w:r>
      <w:r>
        <w:rPr>
          <w:rFonts w:hint="default" w:ascii="Times New Roman" w:hAnsi="Times New Roman" w:eastAsia="方正仿宋_GBK" w:cs="Times New Roman"/>
          <w:color w:val="auto"/>
          <w:sz w:val="32"/>
          <w:szCs w:val="32"/>
          <w:lang w:val="en-US" w:eastAsia="zh-CN"/>
        </w:rPr>
        <w:t>8</w:t>
      </w:r>
      <w:r>
        <w:rPr>
          <w:rFonts w:hint="eastAsia" w:ascii="方正仿宋_GBK" w:hAnsi="方正仿宋_GBK" w:eastAsia="方正仿宋_GBK" w:cs="方正仿宋_GBK"/>
          <w:color w:val="auto"/>
          <w:sz w:val="32"/>
          <w:szCs w:val="32"/>
          <w:lang w:val="en-US" w:eastAsia="zh-CN"/>
        </w:rPr>
        <w:t>月</w:t>
      </w:r>
      <w:r>
        <w:rPr>
          <w:rFonts w:hint="default" w:ascii="Times New Roman" w:hAnsi="Times New Roman" w:eastAsia="方正仿宋_GBK" w:cs="Times New Roman"/>
          <w:color w:val="auto"/>
          <w:sz w:val="32"/>
          <w:szCs w:val="32"/>
          <w:lang w:val="en-US" w:eastAsia="zh-CN"/>
        </w:rPr>
        <w:t>19</w:t>
      </w:r>
      <w:r>
        <w:rPr>
          <w:rFonts w:hint="eastAsia" w:ascii="方正仿宋_GBK" w:hAnsi="方正仿宋_GBK" w:eastAsia="方正仿宋_GBK" w:cs="方正仿宋_GBK"/>
          <w:color w:val="auto"/>
          <w:sz w:val="32"/>
          <w:szCs w:val="32"/>
          <w:lang w:val="en-US" w:eastAsia="zh-CN"/>
        </w:rPr>
        <w:t>日以前已经办理整个地块建设工程规划许可证的，容积率误差不得超过批准容积率的</w:t>
      </w:r>
      <w:r>
        <w:rPr>
          <w:rFonts w:hint="default" w:ascii="Times New Roman" w:hAnsi="Times New Roman" w:eastAsia="方正仿宋_GBK" w:cs="Times New Roman"/>
          <w:color w:val="auto"/>
          <w:sz w:val="32"/>
          <w:szCs w:val="32"/>
          <w:lang w:val="en-US" w:eastAsia="zh-CN"/>
        </w:rPr>
        <w:t>3%</w:t>
      </w:r>
      <w:r>
        <w:rPr>
          <w:rFonts w:hint="eastAsia" w:ascii="方正仿宋_GBK" w:hAnsi="方正仿宋_GBK" w:eastAsia="方正仿宋_GBK" w:cs="方正仿宋_GBK"/>
          <w:color w:val="auto"/>
          <w:sz w:val="32"/>
          <w:szCs w:val="32"/>
          <w:lang w:val="en-US" w:eastAsia="zh-CN"/>
        </w:rPr>
        <w:t>。</w:t>
      </w:r>
    </w:p>
    <w:p w14:paraId="5FF08369">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left"/>
        <w:textAlignment w:val="auto"/>
        <w:rPr>
          <w:rFonts w:hint="eastAsia" w:ascii="方正仿宋_GBK" w:hAnsi="方正仿宋_GBK" w:eastAsia="方正仿宋_GBK" w:cs="方正仿宋_GBK"/>
          <w:color w:val="auto"/>
          <w:sz w:val="32"/>
          <w:szCs w:val="32"/>
          <w:lang w:val="en-US" w:eastAsia="zh-CN"/>
        </w:rPr>
      </w:pPr>
      <w:r>
        <w:rPr>
          <w:rFonts w:hint="eastAsia" w:ascii="方正黑体_GBK" w:hAnsi="方正黑体_GBK" w:eastAsia="方正黑体_GBK" w:cs="方正黑体_GBK"/>
          <w:b w:val="0"/>
          <w:bCs w:val="0"/>
          <w:color w:val="auto"/>
          <w:sz w:val="32"/>
          <w:szCs w:val="32"/>
          <w:lang w:val="en-US" w:eastAsia="zh-CN"/>
        </w:rPr>
        <w:t>第十一条</w:t>
      </w:r>
      <w:r>
        <w:rPr>
          <w:rFonts w:hint="eastAsia" w:ascii="方正仿宋_GBK" w:hAnsi="方正仿宋_GBK" w:eastAsia="方正仿宋_GBK" w:cs="方正仿宋_GBK"/>
          <w:b w:val="0"/>
          <w:bCs w:val="0"/>
          <w:color w:val="auto"/>
          <w:sz w:val="32"/>
          <w:szCs w:val="32"/>
          <w:lang w:val="en-US" w:eastAsia="zh-CN"/>
        </w:rPr>
        <w:t xml:space="preserve"> </w:t>
      </w:r>
      <w:r>
        <w:rPr>
          <w:rFonts w:hint="eastAsia" w:ascii="方正仿宋_GBK" w:hAnsi="方正仿宋_GBK" w:eastAsia="方正仿宋_GBK" w:cs="方正仿宋_GBK"/>
          <w:color w:val="auto"/>
          <w:sz w:val="32"/>
          <w:szCs w:val="32"/>
          <w:lang w:val="en-US" w:eastAsia="zh-CN"/>
        </w:rPr>
        <w:t xml:space="preserve"> </w:t>
      </w:r>
      <w:r>
        <w:rPr>
          <w:rFonts w:hint="eastAsia" w:ascii="方正仿宋_GBK" w:hAnsi="方正仿宋_GBK" w:eastAsia="方正仿宋_GBK" w:cs="方正仿宋_GBK"/>
          <w:color w:val="auto"/>
          <w:sz w:val="32"/>
          <w:szCs w:val="32"/>
          <w:lang w:val="en-US" w:eastAsia="zh-CN"/>
        </w:rPr>
        <w:t>自然资源和规划、住房和城乡建设、城市管理执法等部门工作人员，在建设用地容积率管理工作中玩忽职守、滥用职权、徇私舞弊的，按照有关规定依法给予处理</w:t>
      </w:r>
      <w:r>
        <w:rPr>
          <w:rFonts w:hint="eastAsia" w:ascii="方正仿宋_GBK" w:hAnsi="方正仿宋_GBK" w:eastAsia="方正仿宋_GBK" w:cs="方正仿宋_GBK"/>
          <w:color w:val="auto"/>
          <w:sz w:val="32"/>
          <w:szCs w:val="32"/>
          <w:lang w:val="en-US" w:eastAsia="zh-CN"/>
        </w:rPr>
        <w:t>；</w:t>
      </w:r>
      <w:r>
        <w:rPr>
          <w:rFonts w:hint="eastAsia" w:ascii="方正仿宋_GBK" w:hAnsi="方正仿宋_GBK" w:eastAsia="方正仿宋_GBK" w:cs="方正仿宋_GBK"/>
          <w:color w:val="auto"/>
          <w:sz w:val="32"/>
          <w:szCs w:val="32"/>
          <w:lang w:val="en-US" w:eastAsia="zh-CN"/>
        </w:rPr>
        <w:t xml:space="preserve">构成犯罪的，依法追究刑事责任。 </w:t>
      </w:r>
    </w:p>
    <w:p w14:paraId="33AAF598">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jc w:val="left"/>
        <w:textAlignment w:val="auto"/>
        <w:rPr>
          <w:rFonts w:hint="eastAsia" w:ascii="方正仿宋_GBK" w:hAnsi="方正仿宋_GBK" w:eastAsia="方正仿宋_GBK" w:cs="方正仿宋_GBK"/>
          <w:color w:val="auto"/>
          <w:sz w:val="32"/>
          <w:szCs w:val="32"/>
          <w:lang w:val="en-US" w:eastAsia="zh-CN"/>
        </w:rPr>
      </w:pPr>
      <w:r>
        <w:rPr>
          <w:rFonts w:hint="eastAsia" w:ascii="方正黑体_GBK" w:hAnsi="方正黑体_GBK" w:eastAsia="方正黑体_GBK" w:cs="方正黑体_GBK"/>
          <w:b w:val="0"/>
          <w:bCs w:val="0"/>
          <w:color w:val="auto"/>
          <w:sz w:val="32"/>
          <w:szCs w:val="32"/>
          <w:lang w:val="en-US" w:eastAsia="zh-CN"/>
        </w:rPr>
        <w:t>第十二条</w:t>
      </w:r>
      <w:r>
        <w:rPr>
          <w:rFonts w:hint="eastAsia" w:ascii="方正仿宋_GBK" w:hAnsi="方正仿宋_GBK" w:eastAsia="方正仿宋_GBK" w:cs="方正仿宋_GBK"/>
          <w:b w:val="0"/>
          <w:bCs w:val="0"/>
          <w:color w:val="auto"/>
          <w:sz w:val="32"/>
          <w:szCs w:val="32"/>
          <w:lang w:val="en-US" w:eastAsia="zh-CN"/>
        </w:rPr>
        <w:t xml:space="preserve"> </w:t>
      </w:r>
      <w:r>
        <w:rPr>
          <w:rFonts w:hint="eastAsia" w:ascii="方正仿宋_GBK" w:hAnsi="方正仿宋_GBK" w:eastAsia="方正仿宋_GBK" w:cs="方正仿宋_GBK"/>
          <w:color w:val="auto"/>
          <w:sz w:val="32"/>
          <w:szCs w:val="32"/>
          <w:lang w:val="en-US" w:eastAsia="zh-CN"/>
        </w:rPr>
        <w:t xml:space="preserve"> </w:t>
      </w:r>
      <w:r>
        <w:rPr>
          <w:rFonts w:hint="eastAsia" w:ascii="方正仿宋_GBK" w:hAnsi="方正仿宋_GBK" w:eastAsia="方正仿宋_GBK" w:cs="方正仿宋_GBK"/>
          <w:color w:val="auto"/>
          <w:sz w:val="32"/>
          <w:szCs w:val="32"/>
          <w:lang w:val="en-US" w:eastAsia="zh-CN"/>
        </w:rPr>
        <w:t>未取得建设工程规划许可证或者未按照建设工程规划许可证的规定进行建设的，由城市管理行政执法部门依法责令停止建设；尚可采取改正措施消除对规划实施的影响的，限期改正，处建设工程造价百分之五以上百分之十以下的罚款；无法采取改正措施消除影响的，限期拆除</w:t>
      </w:r>
      <w:r>
        <w:rPr>
          <w:rFonts w:hint="eastAsia" w:ascii="方正仿宋_GBK" w:hAnsi="方正仿宋_GBK" w:eastAsia="方正仿宋_GBK" w:cs="方正仿宋_GBK"/>
          <w:color w:val="auto"/>
          <w:sz w:val="32"/>
          <w:szCs w:val="32"/>
          <w:lang w:val="en-US" w:eastAsia="zh-CN"/>
        </w:rPr>
        <w:t>；</w:t>
      </w:r>
      <w:r>
        <w:rPr>
          <w:rFonts w:hint="eastAsia" w:ascii="方正仿宋_GBK" w:hAnsi="方正仿宋_GBK" w:eastAsia="方正仿宋_GBK" w:cs="方正仿宋_GBK"/>
          <w:color w:val="auto"/>
          <w:sz w:val="32"/>
          <w:szCs w:val="32"/>
          <w:lang w:val="en-US" w:eastAsia="zh-CN"/>
        </w:rPr>
        <w:t>不能拆除的，没收实物或者违法收入，可以并</w:t>
      </w:r>
      <w:bookmarkStart w:id="0" w:name="_GoBack"/>
      <w:bookmarkEnd w:id="0"/>
      <w:r>
        <w:rPr>
          <w:rFonts w:hint="eastAsia" w:ascii="方正仿宋_GBK" w:hAnsi="方正仿宋_GBK" w:eastAsia="方正仿宋_GBK" w:cs="方正仿宋_GBK"/>
          <w:color w:val="auto"/>
          <w:sz w:val="32"/>
          <w:szCs w:val="32"/>
          <w:lang w:val="en-US" w:eastAsia="zh-CN"/>
        </w:rPr>
        <w:t>处建设工程造价百分之十以下的罚款。</w:t>
      </w:r>
    </w:p>
    <w:p w14:paraId="0E495D01">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jc w:val="left"/>
        <w:textAlignment w:val="auto"/>
        <w:rPr>
          <w:rFonts w:hint="eastAsia" w:ascii="方正仿宋_GBK" w:hAnsi="方正仿宋_GBK" w:eastAsia="方正仿宋_GBK" w:cs="方正仿宋_GBK"/>
          <w:color w:val="auto"/>
          <w:sz w:val="32"/>
          <w:szCs w:val="32"/>
          <w:lang w:val="en-US" w:eastAsia="zh-CN"/>
        </w:rPr>
      </w:pPr>
      <w:r>
        <w:rPr>
          <w:rFonts w:hint="eastAsia" w:ascii="方正黑体_GBK" w:hAnsi="方正黑体_GBK" w:eastAsia="方正黑体_GBK" w:cs="方正黑体_GBK"/>
          <w:b w:val="0"/>
          <w:bCs w:val="0"/>
          <w:color w:val="auto"/>
          <w:sz w:val="32"/>
          <w:szCs w:val="32"/>
          <w:lang w:val="en-US" w:eastAsia="zh-CN"/>
        </w:rPr>
        <w:t>第十三条</w:t>
      </w:r>
      <w:r>
        <w:rPr>
          <w:rFonts w:hint="eastAsia" w:ascii="方正仿宋_GBK" w:hAnsi="方正仿宋_GBK" w:eastAsia="方正仿宋_GBK" w:cs="方正仿宋_GBK"/>
          <w:color w:val="auto"/>
          <w:sz w:val="32"/>
          <w:szCs w:val="32"/>
          <w:lang w:val="en-US" w:eastAsia="zh-CN"/>
        </w:rPr>
        <w:t xml:space="preserve">  </w:t>
      </w:r>
      <w:r>
        <w:rPr>
          <w:rFonts w:hint="eastAsia" w:ascii="方正仿宋_GBK" w:hAnsi="方正仿宋_GBK" w:eastAsia="方正仿宋_GBK" w:cs="方正仿宋_GBK"/>
          <w:color w:val="auto"/>
          <w:sz w:val="32"/>
          <w:szCs w:val="32"/>
          <w:lang w:val="en-US" w:eastAsia="zh-CN"/>
        </w:rPr>
        <w:t>本办法由县自然资源和规划局负责解释。</w:t>
      </w:r>
    </w:p>
    <w:p w14:paraId="29223BD3">
      <w:pPr>
        <w:keepNext w:val="0"/>
        <w:keepLines w:val="0"/>
        <w:pageBreakBefore w:val="0"/>
        <w:widowControl w:val="0"/>
        <w:kinsoku/>
        <w:wordWrap/>
        <w:overflowPunct/>
        <w:topLinePunct w:val="0"/>
        <w:autoSpaceDE/>
        <w:autoSpaceDN/>
        <w:bidi w:val="0"/>
        <w:adjustRightInd/>
        <w:snapToGrid/>
        <w:spacing w:line="590" w:lineRule="exact"/>
        <w:ind w:firstLine="640"/>
        <w:jc w:val="left"/>
        <w:textAlignment w:val="auto"/>
        <w:rPr>
          <w:rFonts w:hint="eastAsia" w:ascii="方正仿宋_GBK" w:hAnsi="方正仿宋_GBK" w:eastAsia="方正仿宋_GBK" w:cs="方正仿宋_GBK"/>
          <w:color w:val="auto"/>
          <w:sz w:val="32"/>
          <w:szCs w:val="32"/>
          <w:lang w:val="en-US" w:eastAsia="zh-CN"/>
        </w:rPr>
      </w:pPr>
      <w:r>
        <w:rPr>
          <w:rFonts w:hint="eastAsia" w:ascii="方正黑体_GBK" w:hAnsi="方正黑体_GBK" w:eastAsia="方正黑体_GBK" w:cs="方正黑体_GBK"/>
          <w:b w:val="0"/>
          <w:bCs w:val="0"/>
          <w:color w:val="auto"/>
          <w:sz w:val="32"/>
          <w:szCs w:val="32"/>
          <w:lang w:val="en-US" w:eastAsia="zh-CN"/>
        </w:rPr>
        <w:t>第十四条</w:t>
      </w:r>
      <w:r>
        <w:rPr>
          <w:rFonts w:hint="eastAsia" w:ascii="方正仿宋_GBK" w:hAnsi="方正仿宋_GBK" w:eastAsia="方正仿宋_GBK" w:cs="方正仿宋_GBK"/>
          <w:color w:val="auto"/>
          <w:sz w:val="32"/>
          <w:szCs w:val="32"/>
          <w:lang w:val="en-US" w:eastAsia="zh-CN"/>
        </w:rPr>
        <w:t xml:space="preserve">  </w:t>
      </w:r>
      <w:r>
        <w:rPr>
          <w:rFonts w:hint="eastAsia" w:ascii="方正仿宋_GBK" w:hAnsi="方正仿宋_GBK" w:eastAsia="方正仿宋_GBK" w:cs="方正仿宋_GBK"/>
          <w:color w:val="auto"/>
          <w:sz w:val="32"/>
          <w:szCs w:val="32"/>
          <w:lang w:val="en-US" w:eastAsia="zh-CN"/>
        </w:rPr>
        <w:t>本办法自发布之日起施行。涉及集体经营性建设用地入市的容积率管理参照本办法执行。</w:t>
      </w:r>
    </w:p>
    <w:p w14:paraId="0CC767CD">
      <w:pPr>
        <w:keepNext w:val="0"/>
        <w:keepLines w:val="0"/>
        <w:pageBreakBefore w:val="0"/>
        <w:widowControl w:val="0"/>
        <w:kinsoku/>
        <w:wordWrap/>
        <w:overflowPunct/>
        <w:topLinePunct w:val="0"/>
        <w:autoSpaceDE/>
        <w:autoSpaceDN/>
        <w:bidi w:val="0"/>
        <w:adjustRightInd/>
        <w:snapToGrid/>
        <w:spacing w:line="590" w:lineRule="exact"/>
        <w:jc w:val="left"/>
        <w:textAlignment w:val="auto"/>
        <w:rPr>
          <w:rFonts w:hint="eastAsia" w:ascii="方正仿宋_GBK" w:hAnsi="方正仿宋_GBK" w:eastAsia="方正仿宋_GBK" w:cs="方正仿宋_GBK"/>
          <w:color w:val="auto"/>
          <w:sz w:val="32"/>
          <w:szCs w:val="32"/>
          <w:lang w:val="en-US" w:eastAsia="zh-CN"/>
        </w:rPr>
      </w:pPr>
    </w:p>
    <w:p w14:paraId="5A06E357">
      <w:pPr>
        <w:keepNext w:val="0"/>
        <w:keepLines w:val="0"/>
        <w:pageBreakBefore w:val="0"/>
        <w:widowControl w:val="0"/>
        <w:kinsoku/>
        <w:wordWrap/>
        <w:overflowPunct/>
        <w:topLinePunct w:val="0"/>
        <w:autoSpaceDE/>
        <w:autoSpaceDN/>
        <w:bidi w:val="0"/>
        <w:adjustRightInd/>
        <w:snapToGrid/>
        <w:spacing w:line="590" w:lineRule="exact"/>
        <w:ind w:left="1373" w:leftChars="254" w:hanging="840" w:hangingChars="300"/>
        <w:textAlignment w:val="auto"/>
        <w:rPr>
          <w:rFonts w:hint="eastAsia" w:ascii="方正仿宋_GBK" w:hAnsi="方正仿宋_GBK" w:eastAsia="方正仿宋_GBK" w:cs="方正仿宋_GBK"/>
          <w:color w:val="auto"/>
          <w:sz w:val="28"/>
          <w:szCs w:val="28"/>
          <w:lang w:eastAsia="zh-CN"/>
        </w:rPr>
      </w:pPr>
    </w:p>
    <w:p w14:paraId="17E0D161">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jc w:val="left"/>
        <w:textAlignment w:val="auto"/>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抄送：县委各部门，县人大常委会办公室，县政协办公室，县人武部，县法院，县检察院，驻歙各单位，各群众团体。</w:t>
      </w:r>
    </w:p>
    <w:sectPr>
      <w:headerReference r:id="rId3" w:type="default"/>
      <w:footerReference r:id="rId4" w:type="default"/>
      <w:pgSz w:w="11906" w:h="16838"/>
      <w:pgMar w:top="1701" w:right="1474" w:bottom="1474" w:left="1587" w:header="1020" w:footer="400"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小标宋简体">
    <w:altName w:val="方正舒体"/>
    <w:panose1 w:val="03000509000000000000"/>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57BF5E">
    <w:pPr>
      <w:pStyle w:val="13"/>
      <w:ind w:left="0" w:leftChars="0" w:firstLine="0" w:firstLineChars="0"/>
      <w:rPr>
        <w:rFonts w:hint="eastAsia" w:eastAsia="仿宋"/>
        <w:sz w:val="32"/>
        <w:szCs w:val="48"/>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-1905</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E20968">
                          <w:pPr>
                            <w:pStyle w:val="12"/>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15pt;height:144pt;width:144pt;mso-position-horizontal:outside;mso-position-horizontal-relative:margin;mso-wrap-style:none;z-index:251661312;mso-width-relative:page;mso-height-relative:page;" filled="f" stroked="f" coordsize="21600,21600" o:gfxdata="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PEfS6zTAAAABgEAAA8AAAAAAAAAAQAgAAAAIgAAAGRycy9kb3ducmV2LnhtbFBLAQIUABQAAAAI&#10;AIdO4kBy0PJtKwIAAFUEAAAOAAAAAAAAAAEAIAAAACIBAABkcnMvZTJvRG9jLnhtbFBLBQYAAAAA&#10;BgAGAFkBAAC/BQAAAAA=&#10;">
              <v:fill on="f" focussize="0,0"/>
              <v:stroke on="f" weight="0.5pt"/>
              <v:imagedata o:title=""/>
              <o:lock v:ext="edit" aspectratio="f"/>
              <v:textbox inset="0mm,0mm,0mm,0mm" style="mso-fit-shape-to-text:t;">
                <w:txbxContent>
                  <w:p w14:paraId="1DE20968">
                    <w:pPr>
                      <w:pStyle w:val="12"/>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p>
  <w:p w14:paraId="6572070D">
    <w:pPr>
      <w:pStyle w:val="13"/>
      <w:tabs>
        <w:tab w:val="left" w:pos="5419"/>
      </w:tabs>
      <w:ind w:left="5426" w:leftChars="2584" w:firstLine="5760" w:firstLineChars="1800"/>
      <w:rPr>
        <w:rFonts w:hint="eastAsia" w:eastAsia="仿宋"/>
        <w:sz w:val="32"/>
        <w:szCs w:val="48"/>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-635</wp:posOffset>
              </wp:positionH>
              <wp:positionV relativeFrom="paragraph">
                <wp:posOffset>82550</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05pt;margin-top:6.5pt;height:0.15pt;width:442.25pt;z-index:251660288;mso-width-relative:page;mso-height-relative:page;" filled="f" stroked="t" coordsize="21600,21600" o:gfxdata="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CNOlYA1AAA&#10;AAc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sz w:val="32"/>
        <w:szCs w:val="48"/>
        <w:lang w:eastAsia="zh-CN"/>
      </w:rPr>
      <w:tab/>
    </w:r>
    <w:r>
      <w:rPr>
        <w:rFonts w:hint="eastAsia" w:ascii="宋体" w:hAnsi="宋体" w:cs="宋体"/>
        <w:b/>
        <w:bCs/>
        <w:color w:val="005192"/>
        <w:sz w:val="28"/>
        <w:szCs w:val="44"/>
        <w:lang w:val="en-US" w:eastAsia="zh-CN"/>
      </w:rPr>
      <w:t>歙县</w:t>
    </w:r>
    <w:r>
      <w:rPr>
        <w:rFonts w:hint="eastAsia" w:ascii="宋体" w:hAnsi="宋体" w:eastAsia="宋体" w:cs="宋体"/>
        <w:b/>
        <w:bCs/>
        <w:color w:val="005192"/>
        <w:sz w:val="28"/>
        <w:szCs w:val="44"/>
      </w:rPr>
      <w:t>人民政府</w:t>
    </w:r>
    <w:r>
      <w:rPr>
        <w:rFonts w:hint="eastAsia" w:ascii="宋体" w:hAnsi="宋体" w:cs="宋体"/>
        <w:b/>
        <w:bCs/>
        <w:color w:val="005192"/>
        <w:sz w:val="28"/>
        <w:szCs w:val="44"/>
        <w:lang w:eastAsia="zh-CN"/>
      </w:rPr>
      <w:t>办公室</w:t>
    </w:r>
    <w:r>
      <w:rPr>
        <w:rFonts w:hint="eastAsia" w:ascii="宋体" w:hAnsi="宋体" w:eastAsia="宋体" w:cs="宋体"/>
        <w:b/>
        <w:bCs/>
        <w:color w:val="005192"/>
        <w:sz w:val="28"/>
        <w:szCs w:val="44"/>
      </w:rPr>
      <w:t>发布</w:t>
    </w:r>
  </w:p>
  <w:p w14:paraId="045E3FA8">
    <w:pPr>
      <w:pStyle w:val="13"/>
      <w:tabs>
        <w:tab w:val="left" w:pos="4719"/>
      </w:tabs>
      <w:ind w:left="4788" w:leftChars="2280" w:firstLine="6400" w:firstLineChars="2000"/>
      <w:rPr>
        <w:rFonts w:ascii="宋体" w:hAnsi="宋体" w:eastAsia="宋体" w:cs="宋体"/>
        <w:b/>
        <w:bCs/>
        <w:color w:val="005192"/>
        <w:sz w:val="28"/>
        <w:szCs w:val="44"/>
      </w:rPr>
    </w:pPr>
    <w:r>
      <w:rPr>
        <w:rFonts w:hint="eastAsia" w:eastAsia="仿宋"/>
        <w:sz w:val="32"/>
        <w:szCs w:val="48"/>
        <w:lang w:eastAsia="zh-CN"/>
      </w:rPr>
      <w:tab/>
    </w:r>
    <w:r>
      <w:rPr>
        <w:rFonts w:hint="eastAsia" w:eastAsia="仿宋"/>
        <w:sz w:val="32"/>
        <w:szCs w:val="48"/>
      </w:rPr>
      <w:t xml:space="preserve">  </w:t>
    </w:r>
    <w:r>
      <w:rPr>
        <w:rFonts w:hint="eastAsia" w:ascii="宋体" w:hAnsi="宋体" w:eastAsia="宋体" w:cs="宋体"/>
        <w:b/>
        <w:bCs/>
        <w:color w:val="005192"/>
        <w:sz w:val="28"/>
        <w:szCs w:val="44"/>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2C7DDA">
    <w:pPr>
      <w:pStyle w:val="13"/>
      <w:textAlignment w:val="center"/>
      <w:rPr>
        <w:rFonts w:ascii="宋体" w:hAnsi="宋体" w:eastAsia="宋体" w:cs="宋体"/>
        <w:b/>
        <w:bCs/>
        <w:color w:val="005192"/>
        <w:sz w:val="32"/>
        <w:szCs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-14605</wp:posOffset>
              </wp:positionH>
              <wp:positionV relativeFrom="paragraph">
                <wp:posOffset>426085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1.15pt;margin-top:33.55pt;height:0pt;width:442.55pt;z-index:251659264;mso-width-relative:page;mso-height-relative:page;" filled="f" stroked="t" coordsize="21600,21600" o:gfxdata="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SOr4ZNUAAAAI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cs="宋体"/>
        <w:b/>
        <w:bCs/>
        <w:color w:val="005192"/>
        <w:sz w:val="32"/>
        <w:szCs w:val="32"/>
        <w:lang w:val="en-US" w:eastAsia="zh-CN"/>
      </w:rPr>
      <w:t>歙县</w:t>
    </w:r>
    <w:r>
      <w:rPr>
        <w:rFonts w:hint="eastAsia" w:ascii="宋体" w:hAnsi="宋体" w:eastAsia="宋体" w:cs="宋体"/>
        <w:b/>
        <w:bCs/>
        <w:color w:val="005192"/>
        <w:sz w:val="32"/>
        <w:szCs w:val="32"/>
      </w:rPr>
      <w:t>人民政府</w:t>
    </w:r>
    <w:r>
      <w:rPr>
        <w:rFonts w:hint="eastAsia" w:ascii="宋体" w:hAnsi="宋体" w:cs="宋体"/>
        <w:b/>
        <w:bCs/>
        <w:color w:val="005192"/>
        <w:sz w:val="32"/>
        <w:szCs w:val="32"/>
        <w:lang w:val="en-US" w:eastAsia="zh-CN"/>
      </w:rPr>
      <w:t>办公室</w:t>
    </w:r>
    <w:r>
      <w:rPr>
        <w:rFonts w:hint="eastAsia" w:ascii="宋体" w:hAnsi="宋体" w:eastAsia="宋体" w:cs="宋体"/>
        <w:b/>
        <w:bCs/>
        <w:color w:val="005192"/>
        <w:sz w:val="32"/>
        <w:szCs w:val="32"/>
        <w:lang w:eastAsia="zh-CN"/>
      </w:rPr>
      <w:t>行政规范性文件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QyYTNhZmNjZWIxMDRlMmMxNTc0NTM2Y2Q3ZjY3MmMifQ=="/>
  </w:docVars>
  <w:rsids>
    <w:rsidRoot w:val="00172A27"/>
    <w:rsid w:val="00172A27"/>
    <w:rsid w:val="001A244C"/>
    <w:rsid w:val="00C21F50"/>
    <w:rsid w:val="00C614A6"/>
    <w:rsid w:val="019E71BD"/>
    <w:rsid w:val="048A5804"/>
    <w:rsid w:val="04AE12ED"/>
    <w:rsid w:val="04B679C3"/>
    <w:rsid w:val="080F63D8"/>
    <w:rsid w:val="08EE4992"/>
    <w:rsid w:val="09341458"/>
    <w:rsid w:val="0B0912D7"/>
    <w:rsid w:val="0D907891"/>
    <w:rsid w:val="0EA26937"/>
    <w:rsid w:val="12042B30"/>
    <w:rsid w:val="12574D8B"/>
    <w:rsid w:val="152D2DCA"/>
    <w:rsid w:val="177E45C9"/>
    <w:rsid w:val="17FF6A0B"/>
    <w:rsid w:val="18812A66"/>
    <w:rsid w:val="1DD737EE"/>
    <w:rsid w:val="1DEC284C"/>
    <w:rsid w:val="1E6523AC"/>
    <w:rsid w:val="2219494D"/>
    <w:rsid w:val="22440422"/>
    <w:rsid w:val="24745A7D"/>
    <w:rsid w:val="27077982"/>
    <w:rsid w:val="29BD3A9F"/>
    <w:rsid w:val="31A15F24"/>
    <w:rsid w:val="35D01D77"/>
    <w:rsid w:val="35E9CD16"/>
    <w:rsid w:val="368D3E2A"/>
    <w:rsid w:val="378E6E40"/>
    <w:rsid w:val="395347B5"/>
    <w:rsid w:val="39A232A0"/>
    <w:rsid w:val="39E745AA"/>
    <w:rsid w:val="3B5A6BBB"/>
    <w:rsid w:val="3BFE8D55"/>
    <w:rsid w:val="3EDA13A6"/>
    <w:rsid w:val="3FBF015B"/>
    <w:rsid w:val="41E61848"/>
    <w:rsid w:val="420B38E3"/>
    <w:rsid w:val="42F058B7"/>
    <w:rsid w:val="436109F6"/>
    <w:rsid w:val="441A38D4"/>
    <w:rsid w:val="48B814CD"/>
    <w:rsid w:val="4A7D4C52"/>
    <w:rsid w:val="4BC77339"/>
    <w:rsid w:val="4BDF0EBD"/>
    <w:rsid w:val="4C9236C5"/>
    <w:rsid w:val="505C172E"/>
    <w:rsid w:val="52F46F0B"/>
    <w:rsid w:val="530A1CF5"/>
    <w:rsid w:val="53D8014D"/>
    <w:rsid w:val="55E064E0"/>
    <w:rsid w:val="56A8574D"/>
    <w:rsid w:val="572C6D10"/>
    <w:rsid w:val="5B1A595B"/>
    <w:rsid w:val="5DC34279"/>
    <w:rsid w:val="5FFF3173"/>
    <w:rsid w:val="608816D1"/>
    <w:rsid w:val="60EF4E7F"/>
    <w:rsid w:val="665233C1"/>
    <w:rsid w:val="67A020DA"/>
    <w:rsid w:val="6AD9688B"/>
    <w:rsid w:val="6C7720FE"/>
    <w:rsid w:val="6D0E3F22"/>
    <w:rsid w:val="6DFD9271"/>
    <w:rsid w:val="776D9A4A"/>
    <w:rsid w:val="7B2F89FD"/>
    <w:rsid w:val="7BC96FE5"/>
    <w:rsid w:val="7C9011D9"/>
    <w:rsid w:val="7DC651C5"/>
    <w:rsid w:val="7DEB7CC4"/>
    <w:rsid w:val="7FCC2834"/>
    <w:rsid w:val="7FD617F4"/>
    <w:rsid w:val="7FF8A6B0"/>
    <w:rsid w:val="7FFFD082"/>
    <w:rsid w:val="8D6E52C4"/>
    <w:rsid w:val="9DFF788F"/>
    <w:rsid w:val="F35FBB7B"/>
    <w:rsid w:val="F5FA2B2A"/>
    <w:rsid w:val="F79E5D24"/>
    <w:rsid w:val="F7BF4E61"/>
    <w:rsid w:val="F7DB88EA"/>
    <w:rsid w:val="FB9ED17B"/>
    <w:rsid w:val="FFFEA2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paragraph" w:styleId="4">
    <w:name w:val="heading 1"/>
    <w:basedOn w:val="1"/>
    <w:next w:val="1"/>
    <w:autoRedefine/>
    <w:qFormat/>
    <w:uiPriority w:val="0"/>
    <w:pPr>
      <w:spacing w:before="141" w:beforeAutospacing="0" w:after="141" w:afterAutospacing="0"/>
      <w:ind w:left="0" w:right="0"/>
      <w:jc w:val="left"/>
      <w:outlineLvl w:val="0"/>
    </w:pPr>
    <w:rPr>
      <w:rFonts w:hint="eastAsia" w:ascii="宋体" w:hAnsi="宋体" w:eastAsia="宋体" w:cs="宋体"/>
      <w:kern w:val="44"/>
      <w:sz w:val="30"/>
      <w:szCs w:val="30"/>
      <w:lang w:val="en-US" w:eastAsia="zh-CN" w:bidi="ar"/>
    </w:rPr>
  </w:style>
  <w:style w:type="paragraph" w:styleId="5">
    <w:name w:val="heading 2"/>
    <w:basedOn w:val="1"/>
    <w:next w:val="1"/>
    <w:qFormat/>
    <w:uiPriority w:val="9"/>
    <w:pPr>
      <w:keepNext/>
      <w:keepLines/>
      <w:spacing w:before="260" w:after="260" w:line="416" w:lineRule="auto"/>
      <w:outlineLvl w:val="1"/>
    </w:pPr>
    <w:rPr>
      <w:rFonts w:ascii="Cambria" w:hAnsi="Cambria" w:eastAsia="宋体" w:cs="Times New Roman"/>
      <w:b/>
      <w:bCs/>
      <w:sz w:val="32"/>
      <w:szCs w:val="32"/>
    </w:rPr>
  </w:style>
  <w:style w:type="paragraph" w:styleId="6">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18">
    <w:name w:val="Default Paragraph Font"/>
    <w:autoRedefine/>
    <w:unhideWhenUsed/>
    <w:qFormat/>
    <w:uiPriority w:val="1"/>
  </w:style>
  <w:style w:type="table" w:default="1" w:styleId="17">
    <w:name w:val="Normal Table"/>
    <w:autoRedefine/>
    <w:unhideWhenUsed/>
    <w:qFormat/>
    <w:uiPriority w:val="99"/>
    <w:tblPr>
      <w:tblCellMar>
        <w:top w:w="0" w:type="dxa"/>
        <w:left w:w="108" w:type="dxa"/>
        <w:bottom w:w="0" w:type="dxa"/>
        <w:right w:w="108" w:type="dxa"/>
      </w:tblCellMar>
    </w:tblPr>
  </w:style>
  <w:style w:type="paragraph" w:styleId="2">
    <w:name w:val="Body Text First Indent 2"/>
    <w:basedOn w:val="3"/>
    <w:qFormat/>
    <w:uiPriority w:val="99"/>
    <w:pPr>
      <w:ind w:firstLine="420" w:firstLineChars="200"/>
    </w:pPr>
  </w:style>
  <w:style w:type="paragraph" w:styleId="3">
    <w:name w:val="Body Text Indent"/>
    <w:basedOn w:val="1"/>
    <w:semiHidden/>
    <w:qFormat/>
    <w:uiPriority w:val="99"/>
    <w:pPr>
      <w:spacing w:after="120"/>
      <w:ind w:left="420" w:leftChars="200"/>
    </w:pPr>
  </w:style>
  <w:style w:type="paragraph" w:styleId="7">
    <w:name w:val="Normal Indent"/>
    <w:basedOn w:val="1"/>
    <w:qFormat/>
    <w:uiPriority w:val="0"/>
    <w:pPr>
      <w:widowControl w:val="0"/>
      <w:spacing w:line="560" w:lineRule="exact"/>
      <w:ind w:firstLine="200" w:firstLineChars="200"/>
      <w:jc w:val="both"/>
    </w:pPr>
    <w:rPr>
      <w:rFonts w:ascii="Times New Roman" w:hAnsi="Times New Roman" w:eastAsia="仿宋_GB2312" w:cs="Times New Roman"/>
      <w:b/>
      <w:color w:val="000000"/>
      <w:kern w:val="2"/>
      <w:sz w:val="32"/>
      <w:szCs w:val="24"/>
      <w:lang w:val="en-US" w:eastAsia="zh-CN" w:bidi="ar-SA"/>
    </w:rPr>
  </w:style>
  <w:style w:type="paragraph" w:styleId="8">
    <w:name w:val="annotation text"/>
    <w:basedOn w:val="1"/>
    <w:qFormat/>
    <w:uiPriority w:val="0"/>
    <w:pPr>
      <w:jc w:val="left"/>
    </w:pPr>
  </w:style>
  <w:style w:type="paragraph" w:styleId="9">
    <w:name w:val="Body Text"/>
    <w:basedOn w:val="1"/>
    <w:qFormat/>
    <w:uiPriority w:val="0"/>
    <w:pPr>
      <w:spacing w:before="0" w:after="140" w:line="276" w:lineRule="auto"/>
    </w:pPr>
  </w:style>
  <w:style w:type="paragraph" w:styleId="10">
    <w:name w:val="Body Text Indent 2"/>
    <w:basedOn w:val="1"/>
    <w:unhideWhenUsed/>
    <w:qFormat/>
    <w:uiPriority w:val="99"/>
    <w:pPr>
      <w:spacing w:after="120" w:line="480" w:lineRule="auto"/>
      <w:ind w:left="420" w:leftChars="200"/>
    </w:pPr>
  </w:style>
  <w:style w:type="paragraph" w:styleId="11">
    <w:name w:val="Balloon Text"/>
    <w:basedOn w:val="1"/>
    <w:link w:val="24"/>
    <w:qFormat/>
    <w:uiPriority w:val="0"/>
    <w:rPr>
      <w:sz w:val="18"/>
      <w:szCs w:val="18"/>
    </w:rPr>
  </w:style>
  <w:style w:type="paragraph" w:styleId="12">
    <w:name w:val="footer"/>
    <w:basedOn w:val="1"/>
    <w:autoRedefine/>
    <w:qFormat/>
    <w:uiPriority w:val="0"/>
    <w:pPr>
      <w:tabs>
        <w:tab w:val="center" w:pos="4153"/>
        <w:tab w:val="right" w:pos="8306"/>
      </w:tabs>
      <w:snapToGrid w:val="0"/>
      <w:jc w:val="left"/>
    </w:pPr>
    <w:rPr>
      <w:sz w:val="18"/>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4">
    <w:name w:val="toc 1"/>
    <w:basedOn w:val="1"/>
    <w:next w:val="1"/>
    <w:autoRedefine/>
    <w:qFormat/>
    <w:uiPriority w:val="0"/>
  </w:style>
  <w:style w:type="paragraph" w:styleId="15">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6">
    <w:name w:val="Normal (Web)"/>
    <w:basedOn w:val="1"/>
    <w:autoRedefine/>
    <w:qFormat/>
    <w:uiPriority w:val="0"/>
    <w:pPr>
      <w:spacing w:before="0" w:beforeAutospacing="1" w:after="0" w:afterAutospacing="1"/>
      <w:ind w:left="0" w:right="0"/>
      <w:jc w:val="left"/>
    </w:pPr>
    <w:rPr>
      <w:kern w:val="0"/>
      <w:sz w:val="24"/>
      <w:lang w:val="en-US" w:eastAsia="zh-CN" w:bidi="ar"/>
    </w:rPr>
  </w:style>
  <w:style w:type="character" w:styleId="19">
    <w:name w:val="Hyperlink"/>
    <w:basedOn w:val="18"/>
    <w:qFormat/>
    <w:uiPriority w:val="0"/>
    <w:rPr>
      <w:color w:val="0000FF"/>
      <w:u w:val="single"/>
    </w:rPr>
  </w:style>
  <w:style w:type="character" w:styleId="20">
    <w:name w:val="annotation reference"/>
    <w:basedOn w:val="18"/>
    <w:qFormat/>
    <w:uiPriority w:val="0"/>
    <w:rPr>
      <w:sz w:val="21"/>
      <w:szCs w:val="21"/>
    </w:rPr>
  </w:style>
  <w:style w:type="paragraph" w:customStyle="1" w:styleId="21">
    <w:name w:val="段"/>
    <w:next w:val="1"/>
    <w:qFormat/>
    <w:uiPriority w:val="0"/>
    <w:pPr>
      <w:autoSpaceDE w:val="0"/>
      <w:autoSpaceDN w:val="0"/>
      <w:ind w:firstLine="200"/>
      <w:jc w:val="both"/>
    </w:pPr>
    <w:rPr>
      <w:rFonts w:ascii="宋体" w:hAnsi="Calibri" w:eastAsia="宋体" w:cs="Times New Roman"/>
      <w:sz w:val="21"/>
      <w:szCs w:val="22"/>
      <w:lang w:val="en-US" w:eastAsia="zh-CN" w:bidi="ar-SA"/>
    </w:rPr>
  </w:style>
  <w:style w:type="paragraph" w:customStyle="1" w:styleId="22">
    <w:name w:val="BodyText1I"/>
    <w:basedOn w:val="23"/>
    <w:qFormat/>
    <w:uiPriority w:val="0"/>
    <w:pPr>
      <w:spacing w:after="120"/>
      <w:ind w:firstLine="420" w:firstLineChars="100"/>
      <w:jc w:val="both"/>
      <w:textAlignment w:val="baseline"/>
    </w:pPr>
  </w:style>
  <w:style w:type="paragraph" w:customStyle="1" w:styleId="23">
    <w:name w:val="BodyText"/>
    <w:basedOn w:val="1"/>
    <w:qFormat/>
    <w:uiPriority w:val="0"/>
    <w:pPr>
      <w:spacing w:after="120"/>
      <w:jc w:val="both"/>
      <w:textAlignment w:val="baseline"/>
    </w:pPr>
  </w:style>
  <w:style w:type="character" w:customStyle="1" w:styleId="24">
    <w:name w:val="批注框文本 Char"/>
    <w:basedOn w:val="18"/>
    <w:link w:val="11"/>
    <w:autoRedefine/>
    <w:qFormat/>
    <w:uiPriority w:val="0"/>
    <w:rPr>
      <w:rFonts w:asciiTheme="minorHAnsi" w:hAnsiTheme="minorHAnsi" w:eastAsiaTheme="minorEastAsia" w:cstheme="minorBidi"/>
      <w:kern w:val="2"/>
      <w:sz w:val="18"/>
      <w:szCs w:val="18"/>
    </w:rPr>
  </w:style>
  <w:style w:type="paragraph" w:customStyle="1" w:styleId="25">
    <w:name w:val="正文_0"/>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26">
    <w:name w:val="NormalCharacter"/>
    <w:autoRedefine/>
    <w:semiHidden/>
    <w:qFormat/>
    <w:uiPriority w:val="0"/>
    <w:rPr>
      <w:rFonts w:eastAsia="方正仿宋_GBK"/>
      <w:kern w:val="2"/>
      <w:sz w:val="32"/>
      <w:szCs w:val="32"/>
      <w:lang w:val="en-US" w:eastAsia="zh-CN" w:bidi="ar-SA"/>
    </w:rPr>
  </w:style>
  <w:style w:type="paragraph" w:customStyle="1" w:styleId="27">
    <w:name w:val="HtmlNormal"/>
    <w:basedOn w:val="1"/>
    <w:autoRedefine/>
    <w:qFormat/>
    <w:uiPriority w:val="0"/>
    <w:pPr>
      <w:spacing w:before="100" w:beforeAutospacing="1" w:after="100" w:afterAutospacing="1"/>
      <w:ind w:left="0" w:right="0"/>
      <w:jc w:val="left"/>
      <w:textAlignment w:val="baseline"/>
    </w:pPr>
    <w:rPr>
      <w:rFonts w:ascii="Calibri" w:hAnsi="Calibri" w:eastAsia="宋体"/>
      <w:kern w:val="0"/>
      <w:sz w:val="24"/>
      <w:szCs w:val="24"/>
      <w:lang w:val="en-US" w:eastAsia="zh-CN"/>
    </w:rPr>
  </w:style>
  <w:style w:type="paragraph" w:customStyle="1" w:styleId="28">
    <w:name w:val="Body text|1"/>
    <w:basedOn w:val="1"/>
    <w:qFormat/>
    <w:uiPriority w:val="0"/>
    <w:pPr>
      <w:suppressAutoHyphens w:val="0"/>
      <w:spacing w:line="401" w:lineRule="auto"/>
      <w:ind w:firstLine="400"/>
      <w:jc w:val="left"/>
    </w:pPr>
    <w:rPr>
      <w:rFonts w:ascii="宋体" w:hAnsi="宋体" w:cs="宋体"/>
      <w:kern w:val="0"/>
      <w:sz w:val="30"/>
      <w:szCs w:val="30"/>
      <w:lang w:val="zh-TW" w:eastAsia="zh-TW" w:bidi="zh-TW"/>
    </w:rPr>
  </w:style>
  <w:style w:type="paragraph" w:customStyle="1" w:styleId="29">
    <w:name w:val="文件正文"/>
    <w:autoRedefine/>
    <w:qFormat/>
    <w:uiPriority w:val="0"/>
    <w:pPr>
      <w:keepNext w:val="0"/>
      <w:keepLines w:val="0"/>
      <w:widowControl w:val="0"/>
      <w:shd w:val="clear" w:color="auto" w:fill="auto"/>
      <w:bidi w:val="0"/>
      <w:spacing w:before="0" w:after="0" w:line="590" w:lineRule="exact"/>
      <w:ind w:left="0" w:right="0" w:firstLine="880" w:firstLineChars="200"/>
      <w:jc w:val="both"/>
    </w:pPr>
    <w:rPr>
      <w:rFonts w:ascii="宋体" w:hAnsi="宋体" w:eastAsia="方正仿宋_GBK" w:cs="宋体"/>
      <w:color w:val="918E87"/>
      <w:spacing w:val="0"/>
      <w:w w:val="100"/>
      <w:position w:val="0"/>
      <w:sz w:val="32"/>
      <w:szCs w:val="26"/>
      <w:u w:val="none"/>
      <w:shd w:val="clear" w:color="auto" w:fill="auto"/>
      <w:lang w:val="zh-TW" w:eastAsia="zh-TW" w:bidi="zh-TW"/>
    </w:rPr>
  </w:style>
  <w:style w:type="paragraph" w:styleId="3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1471</Words>
  <Characters>1510</Characters>
  <Lines>5</Lines>
  <Paragraphs>1</Paragraphs>
  <TotalTime>12</TotalTime>
  <ScaleCrop>false</ScaleCrop>
  <LinksUpToDate>false</LinksUpToDate>
  <CharactersWithSpaces>1550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2021-09-15T10:41:00Z</dcterms:created>
  <dc:creator>t</dc:creator>
  <cp:lastModifiedBy>零开始1397739712</cp:lastModifiedBy>
  <cp:lastPrinted>2021-11-01T11:30:00Z</cp:lastPrinted>
  <dcterms:modified xsi:type="dcterms:W3CDTF">2025-11-11T03:15:07Z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170E2ADA848E4405B8F42DD56DD0FED6</vt:lpwstr>
  </property>
  <property fmtid="{D5CDD505-2E9C-101B-9397-08002B2CF9AE}" pid="4" name="KSOTemplateDocerSaveRecord">
    <vt:lpwstr>eyJoZGlkIjoiYmQyYTNhZmNjZWIxMDRlMmMxNTc0NTM2Y2Q3ZjY3MmMiLCJ1c2VySWQiOiIxNDM1NDI2MiJ9</vt:lpwstr>
  </property>
</Properties>
</file>