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48B27">
      <w:pPr>
        <w:spacing w:before="3276" w:beforeLines="1050" w:after="468" w:afterLines="150" w:line="560" w:lineRule="exact"/>
        <w:jc w:val="center"/>
        <w:rPr>
          <w:rFonts w:eastAsia="仿宋_GB2312"/>
          <w:color w:val="333333"/>
          <w:sz w:val="32"/>
          <w:szCs w:val="32"/>
          <w:shd w:val="clear" w:color="auto" w:fill="FFFFFF"/>
        </w:rPr>
      </w:pPr>
      <w:bookmarkStart w:id="4" w:name="_GoBack"/>
      <w:bookmarkEnd w:id="4"/>
      <w:r>
        <w:rPr>
          <w:rFonts w:eastAsia="仿宋_GB2312"/>
          <w:sz w:val="32"/>
          <w:szCs w:val="32"/>
        </w:rPr>
        <w:t>歙环字〔2025〕2</w:t>
      </w:r>
      <w:r>
        <w:rPr>
          <w:rFonts w:hint="eastAsia" w:eastAsia="仿宋_GB2312"/>
          <w:sz w:val="32"/>
          <w:szCs w:val="32"/>
        </w:rPr>
        <w:t>9</w:t>
      </w:r>
      <w:r>
        <w:rPr>
          <w:rFonts w:eastAsia="仿宋_GB2312"/>
          <w:color w:val="000000"/>
          <w:sz w:val="32"/>
          <w:szCs w:val="32"/>
        </w:rPr>
        <w:t>号</w:t>
      </w:r>
    </w:p>
    <w:p w14:paraId="61415863">
      <w:pPr>
        <w:spacing w:line="640" w:lineRule="exact"/>
        <w:jc w:val="center"/>
        <w:rPr>
          <w:rFonts w:eastAsia="方正小标宋_GBK"/>
          <w:sz w:val="44"/>
          <w:szCs w:val="44"/>
        </w:rPr>
      </w:pPr>
      <w:r>
        <w:rPr>
          <w:rFonts w:eastAsia="方正小标宋_GBK"/>
          <w:sz w:val="44"/>
          <w:szCs w:val="44"/>
        </w:rPr>
        <w:t>关于安徽佰杉新材料有限公司年产3.5万吨PVC木塑装饰材料项目环境影响</w:t>
      </w:r>
    </w:p>
    <w:p w14:paraId="2F9B0B8B">
      <w:pPr>
        <w:spacing w:line="640" w:lineRule="exact"/>
        <w:jc w:val="center"/>
        <w:rPr>
          <w:rFonts w:eastAsia="方正小标宋_GBK"/>
          <w:sz w:val="44"/>
          <w:szCs w:val="44"/>
        </w:rPr>
      </w:pPr>
      <w:r>
        <w:rPr>
          <w:rFonts w:eastAsia="方正小标宋_GBK"/>
          <w:sz w:val="44"/>
          <w:szCs w:val="44"/>
        </w:rPr>
        <w:t>报告表的批复</w:t>
      </w:r>
    </w:p>
    <w:p w14:paraId="6A16AC0F">
      <w:pPr>
        <w:spacing w:line="600" w:lineRule="exact"/>
        <w:jc w:val="center"/>
        <w:rPr>
          <w:rFonts w:eastAsia="仿宋"/>
          <w:szCs w:val="21"/>
        </w:rPr>
      </w:pPr>
    </w:p>
    <w:p w14:paraId="02D3B01E">
      <w:pPr>
        <w:spacing w:line="560" w:lineRule="exact"/>
        <w:rPr>
          <w:rFonts w:eastAsia="仿宋_GB2312"/>
          <w:sz w:val="32"/>
          <w:szCs w:val="32"/>
        </w:rPr>
      </w:pPr>
      <w:r>
        <w:rPr>
          <w:rFonts w:hint="eastAsia" w:eastAsia="仿宋_GB2312"/>
          <w:sz w:val="32"/>
          <w:szCs w:val="32"/>
        </w:rPr>
        <w:t>安徽佰杉新材料有限公司</w:t>
      </w:r>
      <w:r>
        <w:rPr>
          <w:rFonts w:eastAsia="仿宋_GB2312"/>
          <w:sz w:val="32"/>
          <w:szCs w:val="32"/>
        </w:rPr>
        <w:t>：</w:t>
      </w:r>
    </w:p>
    <w:p w14:paraId="0E181B42">
      <w:pPr>
        <w:spacing w:line="560" w:lineRule="exact"/>
        <w:ind w:firstLine="640" w:firstLineChars="200"/>
        <w:rPr>
          <w:rFonts w:eastAsia="仿宋_GB2312"/>
          <w:sz w:val="32"/>
          <w:szCs w:val="32"/>
        </w:rPr>
      </w:pPr>
      <w:r>
        <w:rPr>
          <w:rFonts w:eastAsia="仿宋_GB2312"/>
          <w:sz w:val="32"/>
          <w:szCs w:val="32"/>
        </w:rPr>
        <w:t>你公司报来的《关于</w:t>
      </w:r>
      <w:r>
        <w:rPr>
          <w:rFonts w:hint="eastAsia" w:eastAsia="仿宋_GB2312"/>
          <w:sz w:val="32"/>
          <w:szCs w:val="32"/>
        </w:rPr>
        <w:t>请求对安徽佰杉新材料有限公司年产3.5万吨PVC木塑装饰材料项目</w:t>
      </w:r>
      <w:r>
        <w:rPr>
          <w:rFonts w:eastAsia="仿宋_GB2312"/>
          <w:sz w:val="32"/>
          <w:szCs w:val="32"/>
        </w:rPr>
        <w:t>环境影响</w:t>
      </w:r>
      <w:r>
        <w:rPr>
          <w:rFonts w:hint="eastAsia" w:eastAsia="仿宋_GB2312"/>
          <w:sz w:val="32"/>
          <w:szCs w:val="32"/>
        </w:rPr>
        <w:t>报告表进行审批的报告</w:t>
      </w:r>
      <w:r>
        <w:rPr>
          <w:rFonts w:eastAsia="仿宋_GB2312"/>
          <w:sz w:val="32"/>
          <w:szCs w:val="32"/>
        </w:rPr>
        <w:t>》和</w:t>
      </w:r>
      <w:r>
        <w:rPr>
          <w:rFonts w:hint="eastAsia" w:eastAsia="仿宋_GB2312"/>
          <w:sz w:val="32"/>
          <w:szCs w:val="32"/>
        </w:rPr>
        <w:t>黄山华泽环境科技有限公司编制的</w:t>
      </w:r>
      <w:r>
        <w:rPr>
          <w:rFonts w:eastAsia="仿宋_GB2312"/>
          <w:sz w:val="32"/>
          <w:szCs w:val="32"/>
        </w:rPr>
        <w:t>《</w:t>
      </w:r>
      <w:r>
        <w:rPr>
          <w:rFonts w:hint="eastAsia" w:eastAsia="仿宋_GB2312"/>
          <w:sz w:val="32"/>
          <w:szCs w:val="32"/>
        </w:rPr>
        <w:t>安徽佰杉新材料有限公司年产3.5万吨PVC木塑装饰材料项目</w:t>
      </w:r>
      <w:r>
        <w:rPr>
          <w:rFonts w:eastAsia="仿宋_GB2312"/>
          <w:sz w:val="32"/>
          <w:szCs w:val="32"/>
        </w:rPr>
        <w:t>环境影响</w:t>
      </w:r>
      <w:r>
        <w:rPr>
          <w:rFonts w:hint="eastAsia" w:eastAsia="仿宋_GB2312"/>
          <w:sz w:val="32"/>
          <w:szCs w:val="32"/>
        </w:rPr>
        <w:t>报告表</w:t>
      </w:r>
      <w:r>
        <w:rPr>
          <w:rFonts w:eastAsia="仿宋_GB2312"/>
          <w:sz w:val="32"/>
          <w:szCs w:val="32"/>
        </w:rPr>
        <w:t>》（以下简称《</w:t>
      </w:r>
      <w:r>
        <w:rPr>
          <w:rFonts w:hint="eastAsia" w:eastAsia="仿宋_GB2312"/>
          <w:sz w:val="32"/>
          <w:szCs w:val="32"/>
        </w:rPr>
        <w:t>报告表</w:t>
      </w:r>
      <w:r>
        <w:rPr>
          <w:rFonts w:eastAsia="仿宋_GB2312"/>
          <w:sz w:val="32"/>
          <w:szCs w:val="32"/>
        </w:rPr>
        <w:t>》）收悉</w:t>
      </w:r>
      <w:r>
        <w:rPr>
          <w:rFonts w:hint="eastAsia" w:eastAsia="仿宋_GB2312"/>
          <w:sz w:val="32"/>
          <w:szCs w:val="32"/>
        </w:rPr>
        <w:t>，</w:t>
      </w:r>
      <w:r>
        <w:rPr>
          <w:rFonts w:eastAsia="仿宋_GB2312"/>
          <w:sz w:val="32"/>
          <w:szCs w:val="32"/>
        </w:rPr>
        <w:t>经专家技术函审，并在歙县人民政府网站进行了公示，公示期间公众无异议。经研究，现对《报告表》批复如下：</w:t>
      </w:r>
    </w:p>
    <w:p w14:paraId="4DDA7AD6">
      <w:pPr>
        <w:spacing w:line="560" w:lineRule="exact"/>
        <w:ind w:firstLine="640" w:firstLineChars="200"/>
        <w:rPr>
          <w:rFonts w:eastAsia="仿宋_GB2312"/>
          <w:sz w:val="32"/>
          <w:szCs w:val="32"/>
        </w:rPr>
      </w:pPr>
      <w:r>
        <w:rPr>
          <w:rFonts w:hint="eastAsia" w:eastAsia="仿宋_GB2312"/>
          <w:sz w:val="32"/>
          <w:szCs w:val="32"/>
        </w:rPr>
        <w:t>一、项目位于安徽歙县经济开发区紫金路7号</w:t>
      </w:r>
      <w:r>
        <w:rPr>
          <w:rFonts w:eastAsia="仿宋_GB2312"/>
          <w:sz w:val="32"/>
          <w:szCs w:val="32"/>
        </w:rPr>
        <w:t>（经度：（118度26分48.328秒，纬度：29度53分51.330秒）</w:t>
      </w:r>
      <w:r>
        <w:rPr>
          <w:rFonts w:hint="eastAsia" w:eastAsia="仿宋_GB2312"/>
          <w:sz w:val="32"/>
          <w:szCs w:val="32"/>
        </w:rPr>
        <w:t>，本项目拟</w:t>
      </w:r>
      <w:r>
        <w:rPr>
          <w:rFonts w:eastAsia="仿宋_GB2312"/>
          <w:sz w:val="32"/>
          <w:szCs w:val="32"/>
        </w:rPr>
        <w:t>投资</w:t>
      </w:r>
      <w:r>
        <w:rPr>
          <w:rFonts w:hint="eastAsia" w:eastAsia="仿宋_GB2312"/>
          <w:sz w:val="32"/>
          <w:szCs w:val="32"/>
        </w:rPr>
        <w:t>2亿</w:t>
      </w:r>
      <w:r>
        <w:rPr>
          <w:rFonts w:eastAsia="仿宋_GB2312"/>
          <w:sz w:val="32"/>
          <w:szCs w:val="32"/>
        </w:rPr>
        <w:t>元，购置</w:t>
      </w:r>
      <w:r>
        <w:rPr>
          <w:rFonts w:hint="eastAsia" w:eastAsia="仿宋_GB2312"/>
          <w:sz w:val="32"/>
          <w:szCs w:val="32"/>
        </w:rPr>
        <w:t>原奥龙工业园部分厂房，厂区占地面积约85394.85平方米（128.09亩），总建筑面积约64815平方米。项目拟翻新1#厂房、2#厂房、3#</w:t>
      </w:r>
      <w:bookmarkStart w:id="0" w:name="OLE_LINK20"/>
      <w:r>
        <w:rPr>
          <w:rFonts w:hint="eastAsia" w:eastAsia="仿宋_GB2312"/>
          <w:sz w:val="32"/>
          <w:szCs w:val="32"/>
        </w:rPr>
        <w:t>厂房</w:t>
      </w:r>
      <w:bookmarkEnd w:id="0"/>
      <w:r>
        <w:rPr>
          <w:rFonts w:hint="eastAsia" w:eastAsia="仿宋_GB2312"/>
          <w:sz w:val="32"/>
          <w:szCs w:val="32"/>
        </w:rPr>
        <w:t>、4#厂房，拆除5#厂房的部分厂房，用于建设研发楼及其他公共附属设施。项目安装51型、65型、90型PVC型材生产线共58条，购置混合配料系统、生产模具</w:t>
      </w:r>
      <w:r>
        <w:rPr>
          <w:rFonts w:eastAsia="仿宋_GB2312"/>
          <w:sz w:val="32"/>
          <w:szCs w:val="32"/>
        </w:rPr>
        <w:t>等设备</w:t>
      </w:r>
      <w:r>
        <w:rPr>
          <w:rFonts w:hint="eastAsia" w:eastAsia="仿宋_GB2312"/>
          <w:sz w:val="32"/>
          <w:szCs w:val="32"/>
        </w:rPr>
        <w:t>，</w:t>
      </w:r>
      <w:r>
        <w:rPr>
          <w:rFonts w:eastAsia="仿宋_GB2312"/>
          <w:sz w:val="32"/>
          <w:szCs w:val="32"/>
        </w:rPr>
        <w:t>同时建设环保设施等公辅工程</w:t>
      </w:r>
      <w:r>
        <w:rPr>
          <w:rFonts w:hint="eastAsia" w:eastAsia="仿宋_GB2312"/>
          <w:sz w:val="32"/>
          <w:szCs w:val="32"/>
        </w:rPr>
        <w:t>，项目建成后生产规模为年产3.5万吨PVC木塑装饰材料。</w:t>
      </w:r>
    </w:p>
    <w:p w14:paraId="51A735A3">
      <w:pPr>
        <w:pStyle w:val="8"/>
        <w:ind w:firstLine="640"/>
        <w:rPr>
          <w:rFonts w:eastAsia="仿宋_GB2312"/>
          <w:sz w:val="32"/>
          <w:szCs w:val="32"/>
        </w:rPr>
      </w:pPr>
      <w:r>
        <w:rPr>
          <w:rFonts w:hint="eastAsia" w:eastAsia="仿宋_GB2312"/>
          <w:sz w:val="32"/>
          <w:szCs w:val="32"/>
        </w:rPr>
        <w:t>二、</w:t>
      </w:r>
      <w:r>
        <w:rPr>
          <w:rFonts w:eastAsia="仿宋_GB2312"/>
          <w:sz w:val="32"/>
          <w:szCs w:val="32"/>
        </w:rPr>
        <w:t>我局经研究，从生态环境保护角度，根据《报告表》中评价内容以及专家函审意见，在全面落实各项环境保护和风险防范措施的前提下，同意你公司按《报告表》</w:t>
      </w:r>
      <w:r>
        <w:rPr>
          <w:rFonts w:eastAsia="仿宋_GB2312"/>
          <w:color w:val="000000"/>
          <w:kern w:val="2"/>
          <w:sz w:val="32"/>
          <w:szCs w:val="32"/>
        </w:rPr>
        <w:t>所列建设项目的性质、规模、地点、采用的生产工艺和拟采取的各项环境保护措施进行建设，</w:t>
      </w:r>
      <w:r>
        <w:rPr>
          <w:rFonts w:hint="eastAsia" w:ascii="仿宋_GB2312" w:hAnsi="仿宋_GB2312" w:eastAsia="仿宋_GB2312" w:cs="仿宋_GB2312"/>
          <w:color w:val="000000"/>
          <w:kern w:val="2"/>
          <w:sz w:val="32"/>
          <w:szCs w:val="32"/>
        </w:rPr>
        <w:t>并重</w:t>
      </w:r>
      <w:r>
        <w:rPr>
          <w:rFonts w:hint="eastAsia" w:ascii="仿宋_GB2312" w:hAnsi="仿宋_GB2312" w:eastAsia="仿宋_GB2312" w:cs="仿宋_GB2312"/>
          <w:color w:val="000000"/>
          <w:kern w:val="2"/>
          <w:sz w:val="32"/>
          <w:szCs w:val="32"/>
          <w:lang w:val="zh-CN"/>
        </w:rPr>
        <w:t>点做好以下工作</w:t>
      </w:r>
      <w:r>
        <w:rPr>
          <w:rFonts w:hint="eastAsia" w:ascii="仿宋_GB2312" w:hAnsi="仿宋_GB2312" w:eastAsia="仿宋_GB2312" w:cs="仿宋_GB2312"/>
          <w:color w:val="000000"/>
          <w:kern w:val="2"/>
          <w:sz w:val="32"/>
          <w:szCs w:val="32"/>
        </w:rPr>
        <w:t>：</w:t>
      </w:r>
    </w:p>
    <w:p w14:paraId="16C19C83">
      <w:pPr>
        <w:pStyle w:val="11"/>
        <w:spacing w:line="560" w:lineRule="exact"/>
        <w:ind w:firstLine="640" w:firstLineChars="200"/>
        <w:rPr>
          <w:rFonts w:eastAsia="仿宋_GB2312"/>
          <w:sz w:val="32"/>
          <w:szCs w:val="32"/>
        </w:rPr>
      </w:pPr>
      <w:r>
        <w:rPr>
          <w:rFonts w:hint="eastAsia" w:ascii="仿宋_GB2312" w:hAnsi="仿宋_GB2312" w:eastAsia="仿宋_GB2312" w:cs="仿宋_GB2312"/>
          <w:color w:val="000000"/>
          <w:sz w:val="32"/>
          <w:szCs w:val="32"/>
        </w:rPr>
        <w:t>（一）严格落实水环境保护措施。</w:t>
      </w:r>
      <w:r>
        <w:rPr>
          <w:rFonts w:hint="eastAsia" w:eastAsia="仿宋_GB2312"/>
          <w:sz w:val="32"/>
          <w:szCs w:val="32"/>
        </w:rPr>
        <w:t>项目食堂废水经隔油池处理后与生活污水一同进入化粪池处理，后与处理完成的循环冷却废水</w:t>
      </w:r>
      <w:r>
        <w:rPr>
          <w:rFonts w:eastAsia="仿宋_GB2312"/>
          <w:sz w:val="32"/>
          <w:szCs w:val="32"/>
        </w:rPr>
        <w:t>在厂区排口处达到</w:t>
      </w:r>
      <w:r>
        <w:rPr>
          <w:rFonts w:hint="eastAsia" w:eastAsia="仿宋_GB2312"/>
          <w:sz w:val="32"/>
          <w:szCs w:val="32"/>
        </w:rPr>
        <w:t>《污水综合排放标准》（GB8978-1996）表4三级标准，其中氨氮达到《污水排入城镇下水道水质标准》（GB/T31962-2015）中B级限值后</w:t>
      </w:r>
      <w:r>
        <w:rPr>
          <w:rFonts w:eastAsia="仿宋_GB2312"/>
          <w:sz w:val="32"/>
          <w:szCs w:val="32"/>
        </w:rPr>
        <w:t>经厂区排口进入市政污水管网</w:t>
      </w:r>
      <w:r>
        <w:rPr>
          <w:rFonts w:hint="eastAsia" w:eastAsia="仿宋_GB2312"/>
          <w:sz w:val="32"/>
          <w:szCs w:val="32"/>
        </w:rPr>
        <w:t>。</w:t>
      </w:r>
    </w:p>
    <w:p w14:paraId="4A2B5B3B">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（二）落实大气环境保护措施。</w:t>
      </w:r>
      <w:r>
        <w:rPr>
          <w:rFonts w:eastAsia="仿宋_GB2312"/>
          <w:sz w:val="32"/>
          <w:szCs w:val="32"/>
        </w:rPr>
        <w:t>项目建设、运行不得降低所在区域大气环境质量，应确保所在区域环境空气质量达到《环境空气质量标准》（GB 3095-2012）及2018年修改单中规定的二级</w:t>
      </w:r>
      <w:r>
        <w:rPr>
          <w:rFonts w:hint="eastAsia" w:eastAsia="仿宋_GB2312"/>
          <w:sz w:val="32"/>
          <w:szCs w:val="32"/>
        </w:rPr>
        <w:t>标准</w:t>
      </w:r>
      <w:r>
        <w:rPr>
          <w:rFonts w:eastAsia="仿宋_GB2312"/>
          <w:sz w:val="32"/>
          <w:szCs w:val="32"/>
        </w:rPr>
        <w:t>浓度限值，非甲烷总烃参照执行《大气污染物综合排放标准详解》中的推荐值标准</w:t>
      </w:r>
      <w:r>
        <w:rPr>
          <w:rFonts w:hint="eastAsia" w:eastAsia="仿宋_GB2312"/>
          <w:sz w:val="32"/>
          <w:szCs w:val="32"/>
        </w:rPr>
        <w:t>，氯化氢</w:t>
      </w:r>
      <w:r>
        <w:rPr>
          <w:rFonts w:eastAsia="仿宋_GB2312"/>
          <w:sz w:val="32"/>
          <w:szCs w:val="32"/>
        </w:rPr>
        <w:t>执行《环境影响</w:t>
      </w:r>
      <w:r>
        <w:rPr>
          <w:rFonts w:hint="eastAsia" w:eastAsia="仿宋_GB2312"/>
          <w:sz w:val="32"/>
          <w:szCs w:val="32"/>
        </w:rPr>
        <w:t>评价</w:t>
      </w:r>
      <w:r>
        <w:rPr>
          <w:rFonts w:eastAsia="仿宋_GB2312"/>
          <w:sz w:val="32"/>
          <w:szCs w:val="32"/>
        </w:rPr>
        <w:t>技术导则 大气环境》（HJ2.2-2018）附录D中的质量浓度参考限值</w:t>
      </w:r>
      <w:r>
        <w:rPr>
          <w:rFonts w:hint="eastAsia" w:eastAsia="仿宋_GB2312"/>
          <w:sz w:val="32"/>
          <w:szCs w:val="32"/>
        </w:rPr>
        <w:t>。</w:t>
      </w:r>
      <w:r>
        <w:rPr>
          <w:rFonts w:eastAsia="仿宋_GB2312"/>
          <w:sz w:val="32"/>
          <w:szCs w:val="32"/>
        </w:rPr>
        <w:t>项目3#厂房投料粉尘经设备自带的负压投料系统收集，破碎粉尘采</w:t>
      </w:r>
      <w:r>
        <w:rPr>
          <w:rFonts w:eastAsia="仿宋_GB2312"/>
          <w:sz w:val="32"/>
          <w:szCs w:val="32"/>
          <w:highlight w:val="none"/>
        </w:rPr>
        <w:t>用密闭集气罩收</w:t>
      </w:r>
      <w:r>
        <w:rPr>
          <w:rFonts w:eastAsia="仿宋_GB2312"/>
          <w:sz w:val="32"/>
          <w:szCs w:val="32"/>
        </w:rPr>
        <w:t>集，</w:t>
      </w:r>
      <w:r>
        <w:rPr>
          <w:rFonts w:hint="eastAsia" w:eastAsia="仿宋_GB2312"/>
          <w:sz w:val="32"/>
          <w:szCs w:val="32"/>
        </w:rPr>
        <w:t>后</w:t>
      </w:r>
      <w:r>
        <w:rPr>
          <w:rFonts w:eastAsia="仿宋_GB2312"/>
          <w:sz w:val="32"/>
          <w:szCs w:val="32"/>
        </w:rPr>
        <w:t>经布袋除尘器处理后</w:t>
      </w:r>
      <w:r>
        <w:rPr>
          <w:rFonts w:hint="eastAsia" w:ascii="仿宋_GB2312" w:hAnsi="仿宋_GB2312" w:eastAsia="仿宋_GB2312" w:cs="仿宋_GB2312"/>
          <w:b w:val="0"/>
          <w:bCs w:val="0"/>
          <w:sz w:val="32"/>
          <w:szCs w:val="32"/>
        </w:rPr>
        <w:t>通过不低于15m高的</w:t>
      </w:r>
      <w:r>
        <w:rPr>
          <w:rFonts w:eastAsia="仿宋_GB2312"/>
          <w:sz w:val="32"/>
          <w:szCs w:val="32"/>
        </w:rPr>
        <w:t>排气筒排放</w:t>
      </w:r>
      <w:r>
        <w:rPr>
          <w:rFonts w:hint="eastAsia" w:eastAsia="仿宋_GB2312"/>
          <w:sz w:val="32"/>
          <w:szCs w:val="32"/>
        </w:rPr>
        <w:t>。挤出废气采用</w:t>
      </w:r>
      <w:r>
        <w:rPr>
          <w:rFonts w:eastAsia="仿宋_GB2312"/>
          <w:sz w:val="32"/>
          <w:szCs w:val="32"/>
          <w:highlight w:val="none"/>
        </w:rPr>
        <w:t>密闭集气罩</w:t>
      </w:r>
      <w:r>
        <w:rPr>
          <w:rFonts w:hint="eastAsia" w:eastAsia="仿宋_GB2312"/>
          <w:sz w:val="32"/>
          <w:szCs w:val="32"/>
          <w:highlight w:val="none"/>
        </w:rPr>
        <w:t>收集</w:t>
      </w:r>
      <w:r>
        <w:rPr>
          <w:rFonts w:hint="eastAsia" w:eastAsia="仿宋_GB2312"/>
          <w:sz w:val="32"/>
          <w:szCs w:val="32"/>
        </w:rPr>
        <w:t>，</w:t>
      </w:r>
      <w:bookmarkStart w:id="1" w:name="OLE_LINK10"/>
      <w:r>
        <w:rPr>
          <w:rFonts w:hint="eastAsia" w:eastAsia="仿宋_GB2312"/>
          <w:sz w:val="32"/>
          <w:szCs w:val="32"/>
        </w:rPr>
        <w:t>危废库废气密闭负压收集后和挤出废气一起经过三级活性炭吸附装置</w:t>
      </w:r>
      <w:bookmarkEnd w:id="1"/>
      <w:r>
        <w:rPr>
          <w:rFonts w:hint="eastAsia" w:eastAsia="仿宋_GB2312"/>
          <w:sz w:val="32"/>
          <w:szCs w:val="32"/>
        </w:rPr>
        <w:t>处</w:t>
      </w:r>
      <w:r>
        <w:rPr>
          <w:rFonts w:hint="eastAsia" w:ascii="仿宋_GB2312" w:hAnsi="仿宋_GB2312" w:eastAsia="仿宋_GB2312" w:cs="仿宋_GB2312"/>
          <w:sz w:val="32"/>
          <w:szCs w:val="32"/>
          <w:highlight w:val="none"/>
        </w:rPr>
        <w:t>理后通过不低于15m高的排气筒排放。1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29号挤出生产线切割粉尘采用密闭集气罩收集，经布袋除尘器处理后通过不低于15m高的排气筒排放。30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58号挤出生产线切割粉尘采用密闭集气罩收集，经布袋除尘器处理后通过不低于15m高的排气筒排放。1#厂房西南侧</w:t>
      </w:r>
      <w:bookmarkStart w:id="2" w:name="OLE_LINK8"/>
      <w:r>
        <w:rPr>
          <w:rFonts w:hint="eastAsia" w:ascii="仿宋_GB2312" w:hAnsi="仿宋_GB2312" w:eastAsia="仿宋_GB2312" w:cs="仿宋_GB2312"/>
          <w:sz w:val="32"/>
          <w:szCs w:val="32"/>
          <w:highlight w:val="none"/>
        </w:rPr>
        <w:t>安置的</w:t>
      </w:r>
      <w:bookmarkEnd w:id="2"/>
      <w:r>
        <w:rPr>
          <w:rFonts w:hint="eastAsia" w:ascii="仿宋_GB2312" w:hAnsi="仿宋_GB2312" w:eastAsia="仿宋_GB2312" w:cs="仿宋_GB2312"/>
          <w:sz w:val="32"/>
          <w:szCs w:val="32"/>
          <w:highlight w:val="none"/>
        </w:rPr>
        <w:t>雕刻机、切割机、打孔机、侧孔机、封边机和砂光机产生的机加工粉尘采用密闭集气罩收集，经布袋除尘器处理后通过不低于15m高的排气筒排放。1#厂房北侧安置的全自动砂光生产线、全自动门板加工线和全自动裁板加工线产生的机加工粉尘采用密闭集气罩收集，经布袋除尘器处理后通过不低于15m高的排气筒排放</w:t>
      </w:r>
      <w:r>
        <w:rPr>
          <w:rFonts w:hint="eastAsia" w:eastAsia="仿宋_GB2312"/>
          <w:sz w:val="32"/>
          <w:szCs w:val="32"/>
        </w:rPr>
        <w:t>。</w:t>
      </w:r>
      <w:r>
        <w:rPr>
          <w:rFonts w:hint="eastAsia" w:ascii="仿宋_GB2312" w:hAnsi="仿宋_GB2312" w:eastAsia="仿宋_GB2312" w:cs="仿宋_GB2312"/>
          <w:sz w:val="32"/>
          <w:szCs w:val="32"/>
          <w:highlight w:val="none"/>
        </w:rPr>
        <w:t>项目产生的有组织废气颗粒物、氯化氢执行《</w:t>
      </w:r>
      <w:bookmarkStart w:id="3" w:name="OLE_LINK5"/>
      <w:r>
        <w:rPr>
          <w:rFonts w:hint="eastAsia" w:ascii="仿宋_GB2312" w:hAnsi="仿宋_GB2312" w:eastAsia="仿宋_GB2312" w:cs="仿宋_GB2312"/>
          <w:sz w:val="32"/>
          <w:szCs w:val="32"/>
          <w:highlight w:val="none"/>
        </w:rPr>
        <w:t>大气污染物综合排放标准</w:t>
      </w:r>
      <w:bookmarkEnd w:id="3"/>
      <w:r>
        <w:rPr>
          <w:rFonts w:hint="eastAsia" w:ascii="仿宋_GB2312" w:hAnsi="仿宋_GB2312" w:eastAsia="仿宋_GB2312" w:cs="仿宋_GB2312"/>
          <w:sz w:val="32"/>
          <w:szCs w:val="32"/>
          <w:highlight w:val="none"/>
        </w:rPr>
        <w:t>》（GB16297—1996）表2要求，其中排放速率按照二级排放限值严格50%执行，有组织废气挥发性有机物（以非甲烷总烃计）、氯乙烯执行《固定源挥发性有机物综合排放标准 第6部分：其他行业》（GB34/4812.6—2024），厂区内非甲烷总烃排放执行《固定源挥发性有机物综合排放标准 第6部分：其他行业》（GB34/4812.6—2024），厂界颗粒物、非甲烷总烃、氯化氢排放执行《大气污染物综合排放标准》（GB16297—1996）表2中无组织排放监控浓度限值，厂界氯乙烯排放执行《固定源挥发性有机物综合排放标准 第6部分：其他行业》（GB34/4812.6—2024）。食堂油烟排放执行《饮食业油烟排放标准》（GB18483—2001）</w:t>
      </w:r>
      <w:r>
        <w:rPr>
          <w:rFonts w:eastAsia="仿宋_GB2312"/>
          <w:sz w:val="32"/>
          <w:szCs w:val="32"/>
          <w:highlight w:val="none"/>
        </w:rPr>
        <w:t>。</w:t>
      </w:r>
    </w:p>
    <w:p w14:paraId="7C57AFEF">
      <w:pPr>
        <w:spacing w:line="560" w:lineRule="exact"/>
        <w:ind w:firstLine="640" w:firstLineChars="200"/>
        <w:rPr>
          <w:rFonts w:eastAsia="仿宋_GB2312"/>
          <w:sz w:val="32"/>
          <w:szCs w:val="32"/>
          <w:highlight w:val="none"/>
        </w:rPr>
      </w:pPr>
      <w:r>
        <w:rPr>
          <w:rFonts w:eastAsia="仿宋_GB2312"/>
          <w:sz w:val="32"/>
          <w:szCs w:val="32"/>
          <w:highlight w:val="none"/>
        </w:rPr>
        <w:t>全厂综合环境防护距离为</w:t>
      </w:r>
      <w:r>
        <w:rPr>
          <w:rFonts w:hint="eastAsia" w:eastAsia="仿宋_GB2312"/>
          <w:sz w:val="32"/>
          <w:szCs w:val="32"/>
          <w:highlight w:val="none"/>
        </w:rPr>
        <w:t>东南侧厂界外93m，西南侧厂界外93m，西北侧厂界外89.2m，东北侧厂界外8m。</w:t>
      </w:r>
      <w:r>
        <w:rPr>
          <w:rFonts w:eastAsia="仿宋_GB2312"/>
          <w:color w:val="000000" w:themeColor="text1"/>
          <w:sz w:val="32"/>
          <w:szCs w:val="32"/>
          <w:highlight w:val="none"/>
          <w14:textFill>
            <w14:solidFill>
              <w14:schemeClr w14:val="tx1"/>
            </w14:solidFill>
          </w14:textFill>
        </w:rPr>
        <w:t>该环境防护距离范围内不得有</w:t>
      </w:r>
      <w:r>
        <w:rPr>
          <w:rFonts w:eastAsia="仿宋_GB2312"/>
          <w:color w:val="000000" w:themeColor="text1"/>
          <w:sz w:val="32"/>
          <w:szCs w:val="32"/>
          <w:highlight w:val="none"/>
          <w:lang w:val="zh-CN"/>
          <w14:textFill>
            <w14:solidFill>
              <w14:schemeClr w14:val="tx1"/>
            </w14:solidFill>
          </w14:textFill>
        </w:rPr>
        <w:t>医院、学校、居民住宅等环境敏感</w:t>
      </w:r>
      <w:r>
        <w:rPr>
          <w:rFonts w:hint="eastAsia" w:eastAsia="仿宋_GB2312"/>
          <w:color w:val="000000" w:themeColor="text1"/>
          <w:sz w:val="32"/>
          <w:szCs w:val="32"/>
          <w:highlight w:val="none"/>
          <w:lang w:val="zh-CN"/>
          <w14:textFill>
            <w14:solidFill>
              <w14:schemeClr w14:val="tx1"/>
            </w14:solidFill>
          </w14:textFill>
        </w:rPr>
        <w:t>区</w:t>
      </w:r>
      <w:r>
        <w:rPr>
          <w:rFonts w:hint="eastAsia" w:eastAsia="仿宋_GB2312"/>
          <w:sz w:val="32"/>
          <w:szCs w:val="32"/>
          <w:highlight w:val="none"/>
        </w:rPr>
        <w:t>。</w:t>
      </w:r>
    </w:p>
    <w:p w14:paraId="4B056B4B">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highlight w:val="none"/>
        </w:rPr>
        <w:t>（三）</w:t>
      </w:r>
      <w:r>
        <w:rPr>
          <w:rFonts w:eastAsia="仿宋_GB2312"/>
          <w:color w:val="000000"/>
          <w:sz w:val="32"/>
          <w:szCs w:val="32"/>
          <w:highlight w:val="none"/>
        </w:rPr>
        <w:t>落实噪声污染防治措施。</w:t>
      </w:r>
      <w:r>
        <w:rPr>
          <w:rFonts w:eastAsia="仿宋_GB2312"/>
          <w:color w:val="000000" w:themeColor="text1"/>
          <w:sz w:val="32"/>
          <w:szCs w:val="32"/>
          <w:highlight w:val="none"/>
          <w14:textFill>
            <w14:solidFill>
              <w14:schemeClr w14:val="tx1"/>
            </w14:solidFill>
          </w14:textFill>
        </w:rPr>
        <w:t>优先选用低噪声设备，对各类噪声源采取必要的隔声、减震、消声、降噪措施，确保项目生产过程中</w:t>
      </w:r>
      <w:r>
        <w:rPr>
          <w:rFonts w:hint="eastAsia" w:eastAsia="仿宋_GB2312"/>
          <w:color w:val="000000" w:themeColor="text1"/>
          <w:sz w:val="32"/>
          <w:szCs w:val="32"/>
          <w:highlight w:val="none"/>
          <w14:textFill>
            <w14:solidFill>
              <w14:schemeClr w14:val="tx1"/>
            </w14:solidFill>
          </w14:textFill>
        </w:rPr>
        <w:t>东北</w:t>
      </w:r>
      <w:r>
        <w:rPr>
          <w:rFonts w:eastAsia="仿宋_GB2312"/>
          <w:color w:val="000000" w:themeColor="text1"/>
          <w:sz w:val="32"/>
          <w:szCs w:val="32"/>
          <w:highlight w:val="none"/>
          <w14:textFill>
            <w14:solidFill>
              <w14:schemeClr w14:val="tx1"/>
            </w14:solidFill>
          </w14:textFill>
        </w:rPr>
        <w:t>厂界噪声符合《工业企业厂界环境噪声排放标准》（GB12348</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2008）中3类标准</w:t>
      </w:r>
      <w:r>
        <w:rPr>
          <w:rFonts w:hint="eastAsia" w:eastAsia="仿宋_GB2312"/>
          <w:color w:val="000000" w:themeColor="text1"/>
          <w:sz w:val="32"/>
          <w:szCs w:val="32"/>
          <w:highlight w:val="none"/>
          <w14:textFill>
            <w14:solidFill>
              <w14:schemeClr w14:val="tx1"/>
            </w14:solidFill>
          </w14:textFill>
        </w:rPr>
        <w:t>，东</w:t>
      </w:r>
      <w:r>
        <w:rPr>
          <w:rFonts w:hint="eastAsia" w:eastAsia="仿宋_GB2312"/>
          <w:color w:val="000000" w:themeColor="text1"/>
          <w:sz w:val="32"/>
          <w:szCs w:val="32"/>
          <w14:textFill>
            <w14:solidFill>
              <w14:schemeClr w14:val="tx1"/>
            </w14:solidFill>
          </w14:textFill>
        </w:rPr>
        <w:t>南、西南、西北</w:t>
      </w:r>
      <w:r>
        <w:rPr>
          <w:rFonts w:eastAsia="仿宋_GB2312"/>
          <w:color w:val="000000" w:themeColor="text1"/>
          <w:sz w:val="32"/>
          <w:szCs w:val="32"/>
          <w14:textFill>
            <w14:solidFill>
              <w14:schemeClr w14:val="tx1"/>
            </w14:solidFill>
          </w14:textFill>
        </w:rPr>
        <w:t>厂界噪声符合《工业企业厂界环境噪声排放标准》（GB12348</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2008）中</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类标准。</w:t>
      </w:r>
    </w:p>
    <w:p w14:paraId="29F205AC">
      <w:pPr>
        <w:widowControl/>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（四）</w:t>
      </w:r>
      <w:r>
        <w:rPr>
          <w:rFonts w:eastAsia="仿宋_GB2312"/>
          <w:color w:val="000000"/>
          <w:sz w:val="32"/>
          <w:szCs w:val="32"/>
        </w:rPr>
        <w:t>做好固体废物污染防治工作。</w:t>
      </w:r>
      <w:r>
        <w:rPr>
          <w:rFonts w:eastAsia="仿宋_GB2312"/>
          <w:color w:val="000000" w:themeColor="text1"/>
          <w:sz w:val="32"/>
          <w:szCs w:val="32"/>
          <w14:textFill>
            <w14:solidFill>
              <w14:schemeClr w14:val="tx1"/>
            </w14:solidFill>
          </w14:textFill>
        </w:rPr>
        <w:t>建立健全工业固体废物产生、收集、贮存、运输、利用、处置全过程的污染环境防治责任制度，建立工业固体废物管理台账，按规定建设工业固废贮存场所，采取防治工业固体废物污染环境的措施。对</w:t>
      </w:r>
      <w:r>
        <w:rPr>
          <w:rFonts w:hint="eastAsia" w:eastAsia="仿宋_GB2312"/>
          <w:color w:val="000000" w:themeColor="text1"/>
          <w:sz w:val="32"/>
          <w:szCs w:val="32"/>
          <w14:textFill>
            <w14:solidFill>
              <w14:schemeClr w14:val="tx1"/>
            </w14:solidFill>
          </w14:textFill>
        </w:rPr>
        <w:t>废活性炭、废机油、废机油空桶</w:t>
      </w:r>
      <w:r>
        <w:rPr>
          <w:rFonts w:eastAsia="仿宋_GB2312"/>
          <w:color w:val="000000" w:themeColor="text1"/>
          <w:sz w:val="32"/>
          <w:szCs w:val="32"/>
          <w14:textFill>
            <w14:solidFill>
              <w14:schemeClr w14:val="tx1"/>
            </w14:solidFill>
          </w14:textFill>
        </w:rPr>
        <w:t>等危险废物必须按照《中华人民共和国固体废物污染环境防治法》中的特别规定和《危险废物贮存污染控制标准》（GB18597-2023）的要求，配套专用危险废物临时储存设施，配备专用储存容器进行收集，委托有资质的专业机构对其进行处置，并做好处置记录，不得随意处置</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应制定危险废物管理计划，并将管理计划及危险废物管理有关资料向环境保护行政主管部门申报、备案。</w:t>
      </w:r>
    </w:p>
    <w:p w14:paraId="44D060C4">
      <w:pPr>
        <w:spacing w:line="560" w:lineRule="exact"/>
        <w:ind w:firstLine="640" w:firstLineChars="200"/>
        <w:rPr>
          <w:rFonts w:eastAsia="仿宋_GB2312"/>
          <w:color w:val="000000"/>
          <w:sz w:val="32"/>
          <w:szCs w:val="32"/>
        </w:rPr>
      </w:pPr>
      <w:r>
        <w:rPr>
          <w:rFonts w:hint="eastAsia" w:ascii="仿宋_GB2312" w:hAnsi="仿宋_GB2312" w:eastAsia="仿宋_GB2312" w:cs="仿宋_GB2312"/>
          <w:color w:val="000000"/>
          <w:sz w:val="32"/>
          <w:szCs w:val="32"/>
        </w:rPr>
        <w:t>（五）</w:t>
      </w:r>
      <w:r>
        <w:rPr>
          <w:rFonts w:eastAsia="仿宋_GB2312"/>
          <w:color w:val="000000"/>
          <w:sz w:val="32"/>
          <w:szCs w:val="32"/>
        </w:rPr>
        <w:t>做好项目的环境风险防范工作。建立环境风险应急管理体系，按规定编制突发环境事件应急预案，保证防范环境风险配套设施的落实；在生产中要严格执行防范环境风险事故的制度和措施，做好运输、贮存和生产等环节的环境风险管理；出现事故隐患等环境危害事件，应立即按照突发环境事件应急预案处置，包括停止生产，并及时向</w:t>
      </w:r>
      <w:r>
        <w:rPr>
          <w:rFonts w:hint="eastAsia" w:eastAsia="仿宋_GB2312"/>
          <w:color w:val="000000"/>
          <w:sz w:val="32"/>
          <w:szCs w:val="32"/>
          <w:lang w:eastAsia="zh-CN"/>
        </w:rPr>
        <w:t>园区管委会</w:t>
      </w:r>
      <w:r>
        <w:rPr>
          <w:rFonts w:eastAsia="仿宋_GB2312"/>
          <w:color w:val="000000"/>
          <w:sz w:val="32"/>
          <w:szCs w:val="32"/>
        </w:rPr>
        <w:t>生态环境部门及相关部门报告。</w:t>
      </w:r>
    </w:p>
    <w:p w14:paraId="091D0B69">
      <w:pPr>
        <w:pStyle w:val="11"/>
        <w:spacing w:line="560" w:lineRule="exact"/>
        <w:ind w:firstLine="640" w:firstLineChars="200"/>
        <w:rPr>
          <w:rFonts w:eastAsia="仿宋_GB2312"/>
          <w:sz w:val="32"/>
          <w:szCs w:val="32"/>
        </w:rPr>
      </w:pPr>
      <w:r>
        <w:rPr>
          <w:rFonts w:hint="eastAsia" w:ascii="仿宋_GB2312" w:hAnsi="仿宋_GB2312" w:eastAsia="仿宋_GB2312" w:cs="仿宋_GB2312"/>
          <w:color w:val="000000"/>
          <w:sz w:val="32"/>
          <w:szCs w:val="32"/>
        </w:rPr>
        <w:t>（六）</w:t>
      </w:r>
      <w:r>
        <w:rPr>
          <w:rFonts w:eastAsia="仿宋_GB2312"/>
          <w:color w:val="000000"/>
          <w:sz w:val="32"/>
          <w:szCs w:val="32"/>
        </w:rPr>
        <w:t>建立健全环境管理规章制度，设立环境管理机构，确定专人负责环保工作。加强对污染治理设施的管理和维护，确保污染治理设施正常运行，污染物稳定达标排放。</w:t>
      </w:r>
    </w:p>
    <w:p w14:paraId="3A4B6435">
      <w:pPr>
        <w:spacing w:line="560" w:lineRule="exact"/>
        <w:ind w:firstLine="640" w:firstLineChars="200"/>
        <w:rPr>
          <w:rFonts w:eastAsia="仿宋_GB2312"/>
          <w:sz w:val="32"/>
          <w:szCs w:val="32"/>
        </w:rPr>
      </w:pPr>
      <w:r>
        <w:rPr>
          <w:rFonts w:hint="eastAsia" w:ascii="仿宋_GB2312" w:hAnsi="仿宋_GB2312" w:eastAsia="仿宋_GB2312" w:cs="仿宋_GB2312"/>
          <w:color w:val="000000"/>
          <w:sz w:val="32"/>
          <w:szCs w:val="32"/>
        </w:rPr>
        <w:t>（七）</w:t>
      </w:r>
      <w:r>
        <w:rPr>
          <w:rFonts w:eastAsia="仿宋_GB2312"/>
          <w:color w:val="000000"/>
          <w:sz w:val="32"/>
          <w:szCs w:val="32"/>
        </w:rPr>
        <w:t>施工期应按《报告表》要求及相关规定落实废气、废水、噪声等污染防治措施，做好固体废物管理，确保施工期污染物达标排放。</w:t>
      </w:r>
    </w:p>
    <w:p w14:paraId="79500D68">
      <w:pPr>
        <w:pStyle w:val="2"/>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三、应当严格执行安全生产各项规定，建立健全安全生产管理制度，将环保设备设施安全作为企业安全管理的重要组成部分，加强环保设备设施相关岗位人员安全培训。</w:t>
      </w:r>
    </w:p>
    <w:p w14:paraId="0F1F4BEA">
      <w:pPr>
        <w:pStyle w:val="2"/>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四</w:t>
      </w:r>
      <w:r>
        <w:rPr>
          <w:rFonts w:ascii="Times New Roman" w:hAnsi="Times New Roman" w:eastAsia="仿宋_GB2312" w:cs="Times New Roman"/>
          <w:color w:val="000000"/>
          <w:sz w:val="32"/>
          <w:szCs w:val="32"/>
        </w:rPr>
        <w:t>、建设项目必须严格执行环境保护设施与主体工程同时设计、同时施工、同时投入使用的环境保护“三同时”制度。项目规划设计应同步落实防治环境污染和生态破坏措施设计，保证环境保护设施投入。环保设施建设必须纳入施工合同，保证环保设施建设进度和资金</w:t>
      </w:r>
      <w:r>
        <w:rPr>
          <w:rFonts w:ascii="Times New Roman" w:hAnsi="Times New Roman" w:eastAsia="仿宋_GB2312" w:cs="Times New Roman"/>
          <w:sz w:val="32"/>
          <w:szCs w:val="32"/>
        </w:rPr>
        <w:t>。</w:t>
      </w:r>
    </w:p>
    <w:p w14:paraId="3EB010AC">
      <w:pPr>
        <w:spacing w:line="560" w:lineRule="exact"/>
        <w:ind w:firstLine="640" w:firstLineChars="200"/>
        <w:jc w:val="left"/>
        <w:rPr>
          <w:rFonts w:eastAsia="仿宋_GB2312"/>
          <w:color w:val="000000"/>
          <w:sz w:val="32"/>
          <w:szCs w:val="32"/>
        </w:rPr>
      </w:pPr>
      <w:r>
        <w:rPr>
          <w:rFonts w:eastAsia="仿宋_GB2312"/>
          <w:color w:val="000000"/>
          <w:sz w:val="32"/>
          <w:szCs w:val="32"/>
        </w:rPr>
        <w:t>五、《报告表》经批准后，如项目的性质、规模、地点、采用的生产工艺或防治污染的措施发生重大变动的，应依法重新报批项目的环境影响评价文件。超过五年方才建设的，应依法报我局重新审核。</w:t>
      </w:r>
    </w:p>
    <w:p w14:paraId="037C66F6">
      <w:pPr>
        <w:spacing w:line="560" w:lineRule="exact"/>
        <w:ind w:firstLine="640" w:firstLineChars="200"/>
        <w:jc w:val="left"/>
        <w:rPr>
          <w:rFonts w:eastAsia="仿宋_GB2312"/>
          <w:color w:val="000000"/>
          <w:sz w:val="32"/>
          <w:szCs w:val="32"/>
        </w:rPr>
      </w:pPr>
      <w:r>
        <w:rPr>
          <w:rFonts w:eastAsia="仿宋_GB2312"/>
          <w:color w:val="000000"/>
          <w:sz w:val="32"/>
          <w:szCs w:val="32"/>
        </w:rPr>
        <w:t>六、国家对本项目应执行的环境标准作出修订</w:t>
      </w:r>
      <w:r>
        <w:rPr>
          <w:rFonts w:eastAsia="仿宋_GB2312"/>
          <w:sz w:val="32"/>
          <w:szCs w:val="32"/>
        </w:rPr>
        <w:t>或颁布新要求的，执行新标准和新要求</w:t>
      </w:r>
      <w:r>
        <w:rPr>
          <w:rFonts w:eastAsia="仿宋_GB2312"/>
          <w:color w:val="000000"/>
          <w:sz w:val="32"/>
          <w:szCs w:val="32"/>
        </w:rPr>
        <w:t>。</w:t>
      </w:r>
    </w:p>
    <w:p w14:paraId="5686A1FD">
      <w:pPr>
        <w:spacing w:line="560" w:lineRule="exact"/>
        <w:ind w:firstLine="640" w:firstLineChars="200"/>
        <w:jc w:val="left"/>
        <w:rPr>
          <w:rFonts w:eastAsia="仿宋_GB2312"/>
          <w:color w:val="000000"/>
          <w:sz w:val="32"/>
          <w:szCs w:val="32"/>
        </w:rPr>
      </w:pPr>
      <w:r>
        <w:rPr>
          <w:rFonts w:eastAsia="仿宋_GB2312"/>
          <w:color w:val="000000"/>
          <w:sz w:val="32"/>
          <w:szCs w:val="32"/>
        </w:rPr>
        <w:t>七、项目主要污染物总量控制指标为</w:t>
      </w:r>
      <w:r>
        <w:rPr>
          <w:rFonts w:eastAsia="仿宋_GB2312"/>
          <w:sz w:val="32"/>
          <w:szCs w:val="32"/>
        </w:rPr>
        <w:t>：COD 0.1128吨/年（50mg/L），氨氮0.0113吨/年（5mg/L），VOCs 0.9237吨/年。</w:t>
      </w:r>
    </w:p>
    <w:p w14:paraId="060150B6">
      <w:pPr>
        <w:spacing w:line="560" w:lineRule="exact"/>
        <w:ind w:firstLine="640" w:firstLineChars="200"/>
        <w:rPr>
          <w:rFonts w:eastAsia="仿宋_GB2312"/>
          <w:color w:val="000000"/>
          <w:sz w:val="32"/>
          <w:szCs w:val="32"/>
        </w:rPr>
      </w:pPr>
      <w:r>
        <w:rPr>
          <w:rFonts w:hint="eastAsia" w:eastAsia="仿宋_GB2312"/>
          <w:color w:val="000000"/>
          <w:sz w:val="32"/>
          <w:szCs w:val="32"/>
        </w:rPr>
        <w:t>八</w:t>
      </w:r>
      <w:r>
        <w:rPr>
          <w:rFonts w:eastAsia="仿宋_GB2312"/>
          <w:color w:val="000000"/>
          <w:sz w:val="32"/>
          <w:szCs w:val="32"/>
        </w:rPr>
        <w:t>、项目投入生产或使用并产生实际排污行为之前，应按《固定污染源排污许可分类管理名录》申领排污许可证。</w:t>
      </w:r>
    </w:p>
    <w:p w14:paraId="7B821BDF">
      <w:pPr>
        <w:spacing w:line="560" w:lineRule="exact"/>
        <w:ind w:firstLine="640" w:firstLineChars="200"/>
        <w:jc w:val="left"/>
        <w:rPr>
          <w:rFonts w:eastAsia="仿宋_GB2312"/>
          <w:color w:val="000000" w:themeColor="text1"/>
          <w:sz w:val="32"/>
          <w:szCs w:val="32"/>
          <w14:textFill>
            <w14:solidFill>
              <w14:schemeClr w14:val="tx1"/>
            </w14:solidFill>
          </w14:textFill>
        </w:rPr>
      </w:pPr>
      <w:r>
        <w:rPr>
          <w:rFonts w:hint="eastAsia" w:eastAsia="仿宋_GB2312"/>
          <w:color w:val="000000"/>
          <w:sz w:val="32"/>
          <w:szCs w:val="32"/>
        </w:rPr>
        <w:t>九</w:t>
      </w:r>
      <w:r>
        <w:rPr>
          <w:rFonts w:eastAsia="仿宋_GB2312"/>
          <w:color w:val="000000"/>
          <w:sz w:val="32"/>
          <w:szCs w:val="32"/>
        </w:rPr>
        <w:t>、项目建成后，应按照法定程序和要求及时开展建设项目竣工环境保护验收工作和验收信息报送工作，并依法依规公开相关信息。</w:t>
      </w:r>
    </w:p>
    <w:p w14:paraId="49743E56">
      <w:pPr>
        <w:widowControl/>
        <w:snapToGrid w:val="0"/>
        <w:spacing w:line="56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十</w:t>
      </w:r>
      <w:r>
        <w:rPr>
          <w:rFonts w:eastAsia="仿宋_GB2312"/>
          <w:color w:val="000000" w:themeColor="text1"/>
          <w:sz w:val="32"/>
          <w:szCs w:val="32"/>
          <w14:textFill>
            <w14:solidFill>
              <w14:schemeClr w14:val="tx1"/>
            </w14:solidFill>
          </w14:textFill>
        </w:rPr>
        <w:t>、</w:t>
      </w:r>
      <w:r>
        <w:rPr>
          <w:rFonts w:eastAsia="仿宋_GB2312"/>
          <w:color w:val="000000"/>
          <w:sz w:val="32"/>
          <w:szCs w:val="32"/>
        </w:rPr>
        <w:t>请歙县经济开发区管委会落实好项目属地相关生态环境保护职责，请县生态环境保护综合行政执法大队做好</w:t>
      </w:r>
      <w:r>
        <w:rPr>
          <w:rFonts w:eastAsia="仿宋_GB2312"/>
          <w:sz w:val="32"/>
          <w:szCs w:val="32"/>
        </w:rPr>
        <w:t>该项目环保“三同时”的</w:t>
      </w:r>
      <w:r>
        <w:rPr>
          <w:rFonts w:eastAsia="仿宋_GB2312"/>
          <w:color w:val="000000"/>
          <w:sz w:val="32"/>
          <w:szCs w:val="32"/>
        </w:rPr>
        <w:t>生态环境保护监督管理工作</w:t>
      </w:r>
      <w:r>
        <w:rPr>
          <w:rFonts w:hint="eastAsia" w:eastAsia="仿宋_GB2312"/>
          <w:color w:val="000000"/>
          <w:sz w:val="32"/>
          <w:szCs w:val="32"/>
          <w:lang w:eastAsia="zh-CN"/>
        </w:rPr>
        <w:t>。</w:t>
      </w:r>
    </w:p>
    <w:p w14:paraId="0B883AB1">
      <w:pPr>
        <w:spacing w:line="560" w:lineRule="exact"/>
        <w:ind w:firstLine="640" w:firstLineChars="200"/>
        <w:rPr>
          <w:rFonts w:eastAsia="仿宋_GB2312"/>
          <w:sz w:val="32"/>
          <w:szCs w:val="32"/>
        </w:rPr>
      </w:pPr>
    </w:p>
    <w:p w14:paraId="04405CCA">
      <w:pPr>
        <w:pStyle w:val="8"/>
        <w:spacing w:line="560" w:lineRule="exact"/>
        <w:ind w:firstLine="480"/>
      </w:pPr>
    </w:p>
    <w:p w14:paraId="3434659C">
      <w:pPr>
        <w:spacing w:line="560" w:lineRule="exact"/>
        <w:ind w:firstLine="640" w:firstLineChars="200"/>
        <w:jc w:val="right"/>
        <w:rPr>
          <w:rFonts w:eastAsia="仿宋_GB2312"/>
          <w:sz w:val="32"/>
          <w:szCs w:val="32"/>
        </w:rPr>
      </w:pPr>
      <w:r>
        <w:rPr>
          <w:rFonts w:eastAsia="仿宋_GB2312"/>
          <w:sz w:val="32"/>
          <w:szCs w:val="32"/>
        </w:rPr>
        <w:t>202</w:t>
      </w:r>
      <w:r>
        <w:rPr>
          <w:rFonts w:hint="eastAsia" w:eastAsia="仿宋_GB2312"/>
          <w:sz w:val="32"/>
          <w:szCs w:val="32"/>
        </w:rPr>
        <w:t>5</w:t>
      </w:r>
      <w:r>
        <w:rPr>
          <w:rFonts w:eastAsia="仿宋_GB2312"/>
          <w:sz w:val="32"/>
          <w:szCs w:val="32"/>
        </w:rPr>
        <w:t>年</w:t>
      </w:r>
      <w:r>
        <w:rPr>
          <w:rFonts w:hint="eastAsia" w:eastAsia="仿宋_GB2312"/>
          <w:sz w:val="32"/>
          <w:szCs w:val="32"/>
        </w:rPr>
        <w:t>6</w:t>
      </w:r>
      <w:r>
        <w:rPr>
          <w:rFonts w:eastAsia="仿宋_GB2312"/>
          <w:sz w:val="32"/>
          <w:szCs w:val="32"/>
        </w:rPr>
        <w:t>月</w:t>
      </w:r>
      <w:r>
        <w:rPr>
          <w:rFonts w:hint="eastAsia" w:eastAsia="仿宋_GB2312"/>
          <w:sz w:val="32"/>
          <w:szCs w:val="32"/>
        </w:rPr>
        <w:t>6</w:t>
      </w:r>
      <w:r>
        <w:rPr>
          <w:rFonts w:eastAsia="仿宋_GB2312"/>
          <w:sz w:val="32"/>
          <w:szCs w:val="32"/>
        </w:rPr>
        <w:t>日</w:t>
      </w:r>
    </w:p>
    <w:p w14:paraId="592ADC4D">
      <w:pPr>
        <w:adjustRightInd w:val="0"/>
        <w:snapToGrid w:val="0"/>
        <w:spacing w:line="560" w:lineRule="exact"/>
        <w:jc w:val="left"/>
        <w:rPr>
          <w:rFonts w:eastAsia="仿宋_GB2312"/>
          <w:sz w:val="32"/>
          <w:szCs w:val="32"/>
        </w:rPr>
      </w:pPr>
    </w:p>
    <w:p w14:paraId="65A5779B">
      <w:pPr>
        <w:pStyle w:val="2"/>
        <w:rPr>
          <w:rFonts w:eastAsia="仿宋_GB2312"/>
          <w:sz w:val="32"/>
          <w:szCs w:val="32"/>
        </w:rPr>
      </w:pPr>
    </w:p>
    <w:p w14:paraId="5FC2C32E">
      <w:pPr>
        <w:pStyle w:val="2"/>
        <w:rPr>
          <w:rFonts w:eastAsia="仿宋_GB2312"/>
          <w:sz w:val="32"/>
          <w:szCs w:val="32"/>
        </w:rPr>
      </w:pPr>
    </w:p>
    <w:p w14:paraId="648EAFD8">
      <w:pPr>
        <w:pStyle w:val="2"/>
        <w:rPr>
          <w:rFonts w:eastAsia="仿宋_GB2312"/>
          <w:sz w:val="32"/>
          <w:szCs w:val="32"/>
        </w:rPr>
      </w:pPr>
    </w:p>
    <w:p w14:paraId="3869FCB3">
      <w:pPr>
        <w:pStyle w:val="2"/>
        <w:rPr>
          <w:rFonts w:eastAsia="仿宋_GB2312"/>
          <w:sz w:val="32"/>
          <w:szCs w:val="32"/>
        </w:rPr>
      </w:pPr>
    </w:p>
    <w:p w14:paraId="5C524C83">
      <w:pPr>
        <w:adjustRightInd w:val="0"/>
        <w:snapToGrid w:val="0"/>
        <w:spacing w:line="560" w:lineRule="exact"/>
        <w:jc w:val="left"/>
        <w:rPr>
          <w:rFonts w:eastAsia="仿宋_GB2312"/>
          <w:sz w:val="32"/>
          <w:szCs w:val="32"/>
        </w:rPr>
      </w:pPr>
    </w:p>
    <w:p w14:paraId="3F7793FF">
      <w:pPr>
        <w:adjustRightInd w:val="0"/>
        <w:snapToGrid w:val="0"/>
        <w:spacing w:line="560" w:lineRule="exact"/>
        <w:jc w:val="left"/>
      </w:pPr>
      <w:r>
        <w:rPr>
          <w:rFonts w:eastAsia="仿宋_GB2312"/>
          <w:sz w:val="32"/>
          <w:szCs w:val="32"/>
        </w:rPr>
        <w:t>抄送：</w:t>
      </w:r>
      <w:r>
        <w:rPr>
          <w:rFonts w:hint="eastAsia" w:eastAsia="仿宋_GB2312"/>
          <w:sz w:val="32"/>
          <w:szCs w:val="32"/>
        </w:rPr>
        <w:t>县经济开发区管委会</w:t>
      </w:r>
      <w:r>
        <w:rPr>
          <w:rFonts w:eastAsia="仿宋_GB2312"/>
          <w:sz w:val="32"/>
          <w:szCs w:val="32"/>
        </w:rPr>
        <w:t>、县生态环境保护综合行政执法大队、黄山华泽环境科技有限公司。</w:t>
      </w:r>
    </w:p>
    <w:sectPr>
      <w:headerReference r:id="rId3" w:type="default"/>
      <w:footerReference r:id="rId4" w:type="default"/>
      <w:pgSz w:w="11906" w:h="16838"/>
      <w:pgMar w:top="1984" w:right="1803" w:bottom="1134" w:left="1803"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embedRegular r:id="rId1" w:fontKey="{53F28F6F-AC5F-4CC9-8863-7C6EA52D44A7}"/>
  </w:font>
  <w:font w:name="方正小标宋_GBK">
    <w:panose1 w:val="02000000000000000000"/>
    <w:charset w:val="86"/>
    <w:family w:val="auto"/>
    <w:pitch w:val="default"/>
    <w:sig w:usb0="A00002BF" w:usb1="38CF7CFA" w:usb2="00082016" w:usb3="00000000" w:csb0="00040001" w:csb1="00000000"/>
    <w:embedRegular r:id="rId2" w:fontKey="{44F54CCE-5736-470D-B3A9-58650165E3CC}"/>
  </w:font>
  <w:font w:name="仿宋">
    <w:panose1 w:val="02010609060101010101"/>
    <w:charset w:val="86"/>
    <w:family w:val="modern"/>
    <w:pitch w:val="default"/>
    <w:sig w:usb0="800002BF" w:usb1="38CF7CFA" w:usb2="00000016" w:usb3="00000000" w:csb0="00040001" w:csb1="00000000"/>
    <w:embedRegular r:id="rId3" w:fontKey="{045919F7-E101-42E8-BFB1-324B9CCFEE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4A72">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6FD5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36FD5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8862">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s>
  <w:rsids>
    <w:rsidRoot w:val="00706467"/>
    <w:rsid w:val="00067E84"/>
    <w:rsid w:val="00590E2E"/>
    <w:rsid w:val="00706467"/>
    <w:rsid w:val="00F46DFC"/>
    <w:rsid w:val="08504099"/>
    <w:rsid w:val="097F5A20"/>
    <w:rsid w:val="12163FE7"/>
    <w:rsid w:val="17C6208D"/>
    <w:rsid w:val="218E7DB8"/>
    <w:rsid w:val="25C446D8"/>
    <w:rsid w:val="25C811D2"/>
    <w:rsid w:val="28E8012C"/>
    <w:rsid w:val="2CD810FA"/>
    <w:rsid w:val="2D7158B8"/>
    <w:rsid w:val="34106DFB"/>
    <w:rsid w:val="347436ED"/>
    <w:rsid w:val="356556A8"/>
    <w:rsid w:val="39446FC1"/>
    <w:rsid w:val="3B126A23"/>
    <w:rsid w:val="3C8D359E"/>
    <w:rsid w:val="3C9F4B00"/>
    <w:rsid w:val="400973E0"/>
    <w:rsid w:val="4C3B4DC5"/>
    <w:rsid w:val="57F6355F"/>
    <w:rsid w:val="5A567846"/>
    <w:rsid w:val="62A50D92"/>
    <w:rsid w:val="64AF16BF"/>
    <w:rsid w:val="659506B8"/>
    <w:rsid w:val="77014E6F"/>
    <w:rsid w:val="77174613"/>
    <w:rsid w:val="77D20D31"/>
    <w:rsid w:val="7A611C55"/>
    <w:rsid w:val="7EAA6F07"/>
    <w:rsid w:val="7F902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360" w:lineRule="auto"/>
      <w:jc w:val="center"/>
      <w:outlineLvl w:val="0"/>
    </w:pPr>
    <w:rPr>
      <w:rFonts w:cs="Arial" w:asciiTheme="minorHAnsi" w:hAnsiTheme="minorHAnsi"/>
      <w:b/>
      <w:snapToGrid w:val="0"/>
      <w:color w:val="000000"/>
      <w:kern w:val="44"/>
      <w:sz w:val="44"/>
      <w:szCs w:val="21"/>
      <w:lang w:eastAsia="en-US"/>
    </w:rPr>
  </w:style>
  <w:style w:type="paragraph" w:styleId="4">
    <w:name w:val="heading 2"/>
    <w:basedOn w:val="1"/>
    <w:next w:val="1"/>
    <w:autoRedefine/>
    <w:semiHidden/>
    <w:unhideWhenUsed/>
    <w:qFormat/>
    <w:uiPriority w:val="0"/>
    <w:pPr>
      <w:keepNext/>
      <w:keepLines/>
      <w:spacing w:before="260" w:after="260" w:line="413" w:lineRule="auto"/>
      <w:outlineLvl w:val="1"/>
    </w:pPr>
    <w:rPr>
      <w:rFonts w:ascii="Arial" w:hAnsi="Arial"/>
      <w:b/>
      <w:sz w:val="32"/>
    </w:rPr>
  </w:style>
  <w:style w:type="paragraph" w:styleId="5">
    <w:name w:val="heading 3"/>
    <w:basedOn w:val="1"/>
    <w:next w:val="1"/>
    <w:autoRedefine/>
    <w:semiHidden/>
    <w:unhideWhenUsed/>
    <w:qFormat/>
    <w:uiPriority w:val="0"/>
    <w:pPr>
      <w:keepNext/>
      <w:keepLines/>
      <w:spacing w:line="360" w:lineRule="auto"/>
      <w:outlineLvl w:val="2"/>
    </w:pPr>
    <w:rPr>
      <w:rFonts w:cs="Arial"/>
      <w:b/>
      <w:snapToGrid w:val="0"/>
      <w:color w:val="000000"/>
      <w:kern w:val="0"/>
      <w:sz w:val="28"/>
      <w:szCs w:val="21"/>
      <w:lang w:eastAsia="en-US"/>
    </w:rPr>
  </w:style>
  <w:style w:type="paragraph" w:styleId="6">
    <w:name w:val="heading 4"/>
    <w:basedOn w:val="1"/>
    <w:next w:val="1"/>
    <w:autoRedefine/>
    <w:semiHidden/>
    <w:unhideWhenUsed/>
    <w:qFormat/>
    <w:uiPriority w:val="0"/>
    <w:pPr>
      <w:keepNext/>
      <w:keepLines/>
      <w:spacing w:line="372" w:lineRule="auto"/>
      <w:outlineLvl w:val="3"/>
    </w:pPr>
    <w:rPr>
      <w:rFonts w:cs="Arial"/>
      <w:b/>
      <w:snapToGrid w:val="0"/>
      <w:color w:val="000000"/>
      <w:kern w:val="0"/>
      <w:sz w:val="24"/>
      <w:szCs w:val="21"/>
      <w:lang w:eastAsia="en-US"/>
    </w:rPr>
  </w:style>
  <w:style w:type="paragraph" w:styleId="7">
    <w:name w:val="heading 5"/>
    <w:basedOn w:val="1"/>
    <w:next w:val="1"/>
    <w:autoRedefine/>
    <w:semiHidden/>
    <w:unhideWhenUsed/>
    <w:qFormat/>
    <w:uiPriority w:val="0"/>
    <w:pPr>
      <w:keepNext/>
      <w:keepLines/>
      <w:spacing w:before="280" w:after="290" w:line="372" w:lineRule="auto"/>
      <w:outlineLvl w:val="4"/>
    </w:pPr>
    <w:rPr>
      <w:rFonts w:asciiTheme="minorHAnsi" w:hAnsiTheme="minorHAnsi"/>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1"/>
    <w:autoRedefine/>
    <w:qFormat/>
    <w:uiPriority w:val="0"/>
    <w:pPr>
      <w:jc w:val="both"/>
    </w:pPr>
    <w:rPr>
      <w:rFonts w:ascii="Calibri" w:hAnsi="Calibri" w:eastAsia="宋体" w:cs="Calibri"/>
      <w:kern w:val="2"/>
      <w:sz w:val="21"/>
      <w:szCs w:val="21"/>
      <w:lang w:val="en-US" w:eastAsia="zh-CN" w:bidi="ar-SA"/>
    </w:rPr>
  </w:style>
  <w:style w:type="paragraph" w:styleId="8">
    <w:name w:val="Normal Indent"/>
    <w:basedOn w:val="1"/>
    <w:next w:val="9"/>
    <w:qFormat/>
    <w:uiPriority w:val="0"/>
    <w:pPr>
      <w:ind w:firstLine="420" w:firstLineChars="200"/>
    </w:pPr>
    <w:rPr>
      <w:kern w:val="0"/>
      <w:sz w:val="24"/>
      <w:szCs w:val="20"/>
    </w:rPr>
  </w:style>
  <w:style w:type="paragraph" w:customStyle="1" w:styleId="9">
    <w:name w:val="附图图片"/>
    <w:autoRedefine/>
    <w:qFormat/>
    <w:uiPriority w:val="0"/>
    <w:pPr>
      <w:widowControl w:val="0"/>
      <w:spacing w:before="100" w:beforeLines="100"/>
      <w:jc w:val="center"/>
    </w:pPr>
    <w:rPr>
      <w:rFonts w:ascii="Times New Roman" w:hAnsi="Times New Roman" w:eastAsia="楷体" w:cs="Times New Roman"/>
      <w:kern w:val="2"/>
      <w:sz w:val="24"/>
      <w:szCs w:val="24"/>
      <w:lang w:val="en-US" w:eastAsia="zh-CN" w:bidi="ar-SA"/>
    </w:rPr>
  </w:style>
  <w:style w:type="paragraph" w:styleId="10">
    <w:name w:val="toc 3"/>
    <w:basedOn w:val="1"/>
    <w:next w:val="1"/>
    <w:autoRedefine/>
    <w:qFormat/>
    <w:uiPriority w:val="0"/>
    <w:pPr>
      <w:ind w:firstLine="1205" w:firstLineChars="250"/>
    </w:pPr>
    <w:rPr>
      <w:rFonts w:ascii="Tahoma" w:hAnsi="Tahoma" w:cs="黑体"/>
      <w:szCs w:val="22"/>
    </w:rPr>
  </w:style>
  <w:style w:type="paragraph" w:styleId="11">
    <w:name w:val="Body Text Indent 2"/>
    <w:basedOn w:val="1"/>
    <w:next w:val="1"/>
    <w:qFormat/>
    <w:uiPriority w:val="0"/>
    <w:pPr>
      <w:spacing w:line="440" w:lineRule="exact"/>
      <w:ind w:firstLine="570"/>
      <w:textAlignment w:val="center"/>
    </w:pPr>
    <w:rPr>
      <w:rFonts w:eastAsia="华文中宋"/>
      <w:sz w:val="2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ind w:firstLine="241" w:firstLineChars="50"/>
    </w:pPr>
    <w:rPr>
      <w:rFonts w:ascii="Tahoma" w:hAnsi="Tahoma" w:cs="黑体"/>
      <w:szCs w:val="22"/>
    </w:rPr>
  </w:style>
  <w:style w:type="paragraph" w:styleId="15">
    <w:name w:val="toc 2"/>
    <w:basedOn w:val="1"/>
    <w:next w:val="1"/>
    <w:link w:val="19"/>
    <w:autoRedefine/>
    <w:qFormat/>
    <w:uiPriority w:val="0"/>
    <w:pPr>
      <w:ind w:firstLine="723" w:firstLineChars="150"/>
    </w:pPr>
    <w:rPr>
      <w:rFonts w:ascii="Tahoma" w:hAnsi="Tahoma" w:cs="黑体"/>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TOC 2 字符"/>
    <w:link w:val="15"/>
    <w:autoRedefine/>
    <w:qFormat/>
    <w:uiPriority w:val="0"/>
    <w:rPr>
      <w:rFonts w:ascii="Tahoma" w:hAnsi="Tahoma" w:eastAsia="宋体" w:cs="黑体"/>
      <w:szCs w:val="2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2870</Words>
  <Characters>3136</Characters>
  <Lines>22</Lines>
  <Paragraphs>6</Paragraphs>
  <TotalTime>53</TotalTime>
  <ScaleCrop>false</ScaleCrop>
  <LinksUpToDate>false</LinksUpToDate>
  <CharactersWithSpaces>3143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2024-05-14T09:23:00Z</dcterms:created>
  <dc:creator>86178</dc:creator>
  <cp:lastModifiedBy>郝剑</cp:lastModifiedBy>
  <cp:lastPrinted>2025-06-06T01:35:00Z</cp:lastPrinted>
  <dcterms:modified xsi:type="dcterms:W3CDTF">2025-06-06T07:09:02Z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424210722F8744BBB0B4DA5E765C269E_13</vt:lpwstr>
  </property>
  <property fmtid="{D5CDD505-2E9C-101B-9397-08002B2CF9AE}" pid="4" name="KSOTemplateDocerSaveRecord">
    <vt:lpwstr>eyJoZGlkIjoiNjgyZWRjNmEwZjgyZDE2MzIzMTE0NDZhMjE1ZTFlNDUiLCJ1c2VySWQiOiIzNjg3NzE5MzUifQ==</vt:lpwstr>
  </property>
</Properties>
</file>