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1A" w:rsidRDefault="006808F9">
      <w:pPr>
        <w:spacing w:line="596" w:lineRule="exact"/>
        <w:rPr>
          <w:rFonts w:ascii="宋体" w:eastAsia="宋体" w:hAnsi="宋体" w:cs="宋体"/>
          <w:color w:val="000000" w:themeColor="text1"/>
        </w:rPr>
      </w:pPr>
      <w:r>
        <w:rPr>
          <w:rFonts w:ascii="宋体" w:eastAsia="宋体" w:hAnsi="宋体" w:cs="宋体" w:hint="eastAsia"/>
          <w:color w:val="000000" w:themeColor="text1"/>
        </w:rPr>
        <w:t>附件</w:t>
      </w:r>
    </w:p>
    <w:p w:rsidR="00EF5A1A" w:rsidRDefault="006808F9" w:rsidP="006C26B4">
      <w:pPr>
        <w:adjustRightInd w:val="0"/>
        <w:snapToGrid w:val="0"/>
        <w:spacing w:afterLines="50" w:line="596" w:lineRule="exact"/>
        <w:jc w:val="center"/>
        <w:rPr>
          <w:rFonts w:ascii="方正小标宋简体" w:eastAsia="方正小标宋简体" w:hAnsi="宋体" w:cs="宋体"/>
          <w:color w:val="000000" w:themeColor="text1"/>
          <w:sz w:val="36"/>
          <w:szCs w:val="36"/>
        </w:rPr>
      </w:pPr>
      <w:r>
        <w:rPr>
          <w:rFonts w:ascii="方正小标宋简体" w:eastAsia="方正小标宋简体" w:hAnsi="方正小标宋简体" w:cs="方正小标宋简体" w:hint="eastAsia"/>
          <w:sz w:val="36"/>
          <w:szCs w:val="36"/>
          <w:lang/>
        </w:rPr>
        <w:t>歙县</w:t>
      </w:r>
      <w:r>
        <w:rPr>
          <w:rFonts w:ascii="方正小标宋简体" w:eastAsia="方正小标宋简体" w:hAnsi="方正小标宋简体" w:cs="方正小标宋简体"/>
          <w:sz w:val="36"/>
          <w:szCs w:val="36"/>
          <w:lang/>
        </w:rPr>
        <w:t>医疗救助补助资金（城乡医疗救助部分）绩效评价</w:t>
      </w:r>
      <w:r>
        <w:rPr>
          <w:rFonts w:ascii="方正小标宋简体" w:eastAsia="方正小标宋简体" w:hAnsi="方正小标宋简体" w:cs="方正小标宋简体" w:hint="eastAsia"/>
          <w:sz w:val="36"/>
          <w:szCs w:val="36"/>
          <w:lang/>
        </w:rPr>
        <w:t>自评表</w:t>
      </w:r>
    </w:p>
    <w:tbl>
      <w:tblPr>
        <w:tblStyle w:val="a3"/>
        <w:tblW w:w="13935" w:type="dxa"/>
        <w:jc w:val="center"/>
        <w:tblLayout w:type="fixed"/>
        <w:tblLook w:val="04A0"/>
      </w:tblPr>
      <w:tblGrid>
        <w:gridCol w:w="958"/>
        <w:gridCol w:w="703"/>
        <w:gridCol w:w="1705"/>
        <w:gridCol w:w="1590"/>
        <w:gridCol w:w="1345"/>
        <w:gridCol w:w="1350"/>
        <w:gridCol w:w="3165"/>
        <w:gridCol w:w="540"/>
        <w:gridCol w:w="2579"/>
      </w:tblGrid>
      <w:tr w:rsidR="00EF5A1A">
        <w:trPr>
          <w:trHeight w:val="466"/>
          <w:tblHeader/>
          <w:jc w:val="center"/>
        </w:trPr>
        <w:tc>
          <w:tcPr>
            <w:tcW w:w="958"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一级指标</w:t>
            </w:r>
          </w:p>
        </w:tc>
        <w:tc>
          <w:tcPr>
            <w:tcW w:w="703"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二级指标</w:t>
            </w:r>
          </w:p>
        </w:tc>
        <w:tc>
          <w:tcPr>
            <w:tcW w:w="1705"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三级指标</w:t>
            </w:r>
          </w:p>
        </w:tc>
        <w:tc>
          <w:tcPr>
            <w:tcW w:w="1590"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标准值</w:t>
            </w:r>
          </w:p>
        </w:tc>
        <w:tc>
          <w:tcPr>
            <w:tcW w:w="1345"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实际值</w:t>
            </w:r>
          </w:p>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(202</w:t>
            </w:r>
            <w:r>
              <w:rPr>
                <w:rFonts w:ascii="宋体" w:eastAsia="宋体" w:hAnsi="宋体" w:cs="宋体" w:hint="eastAsia"/>
                <w:b/>
                <w:bCs/>
                <w:color w:val="000000" w:themeColor="text1"/>
                <w:sz w:val="18"/>
                <w:szCs w:val="18"/>
              </w:rPr>
              <w:t>3</w:t>
            </w:r>
            <w:r>
              <w:rPr>
                <w:rFonts w:ascii="宋体" w:eastAsia="宋体" w:hAnsi="宋体" w:cs="宋体" w:hint="eastAsia"/>
                <w:b/>
                <w:bCs/>
                <w:color w:val="000000" w:themeColor="text1"/>
                <w:sz w:val="18"/>
                <w:szCs w:val="18"/>
              </w:rPr>
              <w:t>年</w:t>
            </w:r>
            <w:r>
              <w:rPr>
                <w:rFonts w:ascii="宋体" w:eastAsia="宋体" w:hAnsi="宋体" w:cs="宋体" w:hint="eastAsia"/>
                <w:b/>
                <w:bCs/>
                <w:color w:val="000000" w:themeColor="text1"/>
                <w:sz w:val="18"/>
                <w:szCs w:val="18"/>
              </w:rPr>
              <w:t>)</w:t>
            </w:r>
          </w:p>
        </w:tc>
        <w:tc>
          <w:tcPr>
            <w:tcW w:w="1350"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实际值</w:t>
            </w:r>
          </w:p>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(202</w:t>
            </w:r>
            <w:r>
              <w:rPr>
                <w:rFonts w:ascii="宋体" w:eastAsia="宋体" w:hAnsi="宋体" w:cs="宋体" w:hint="eastAsia"/>
                <w:b/>
                <w:bCs/>
                <w:color w:val="000000" w:themeColor="text1"/>
                <w:sz w:val="18"/>
                <w:szCs w:val="18"/>
              </w:rPr>
              <w:t>4</w:t>
            </w:r>
            <w:r>
              <w:rPr>
                <w:rFonts w:ascii="宋体" w:eastAsia="宋体" w:hAnsi="宋体" w:cs="宋体" w:hint="eastAsia"/>
                <w:b/>
                <w:bCs/>
                <w:color w:val="000000" w:themeColor="text1"/>
                <w:sz w:val="18"/>
                <w:szCs w:val="18"/>
              </w:rPr>
              <w:t>年</w:t>
            </w:r>
            <w:r>
              <w:rPr>
                <w:rFonts w:ascii="宋体" w:eastAsia="宋体" w:hAnsi="宋体" w:cs="宋体" w:hint="eastAsia"/>
                <w:b/>
                <w:bCs/>
                <w:color w:val="000000" w:themeColor="text1"/>
                <w:sz w:val="18"/>
                <w:szCs w:val="18"/>
              </w:rPr>
              <w:t>)</w:t>
            </w:r>
          </w:p>
        </w:tc>
        <w:tc>
          <w:tcPr>
            <w:tcW w:w="3165"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评分标准</w:t>
            </w:r>
          </w:p>
        </w:tc>
        <w:tc>
          <w:tcPr>
            <w:tcW w:w="540" w:type="dxa"/>
            <w:vAlign w:val="center"/>
          </w:tcPr>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hAnsi="宋体" w:cs="Times New Roman" w:hint="eastAsia"/>
                <w:b/>
                <w:bCs/>
                <w:sz w:val="18"/>
                <w:szCs w:val="18"/>
              </w:rPr>
              <w:t>得分</w:t>
            </w:r>
          </w:p>
        </w:tc>
        <w:tc>
          <w:tcPr>
            <w:tcW w:w="2579" w:type="dxa"/>
            <w:vAlign w:val="bottom"/>
          </w:tcPr>
          <w:p w:rsidR="00EF5A1A" w:rsidRDefault="00EF5A1A">
            <w:pPr>
              <w:pStyle w:val="Char"/>
              <w:adjustRightInd w:val="0"/>
              <w:snapToGrid w:val="0"/>
              <w:spacing w:after="0" w:line="240" w:lineRule="auto"/>
              <w:jc w:val="center"/>
              <w:rPr>
                <w:rFonts w:ascii="宋体" w:eastAsia="宋体" w:hAnsi="宋体" w:cs="宋体"/>
                <w:b/>
                <w:bCs/>
                <w:color w:val="000000" w:themeColor="text1"/>
                <w:sz w:val="18"/>
                <w:szCs w:val="18"/>
              </w:rPr>
            </w:pPr>
          </w:p>
          <w:p w:rsidR="00EF5A1A" w:rsidRDefault="006808F9">
            <w:pPr>
              <w:pStyle w:val="Char"/>
              <w:adjustRightInd w:val="0"/>
              <w:snapToGrid w:val="0"/>
              <w:spacing w:after="0" w:line="240" w:lineRule="auto"/>
              <w:jc w:val="center"/>
              <w:rPr>
                <w:rFonts w:ascii="宋体" w:eastAsia="宋体" w:hAnsi="宋体" w:cs="宋体"/>
                <w:b/>
                <w:bCs/>
                <w:color w:val="000000" w:themeColor="text1"/>
                <w:sz w:val="18"/>
                <w:szCs w:val="18"/>
              </w:rPr>
            </w:pPr>
            <w:r>
              <w:rPr>
                <w:rFonts w:ascii="宋体" w:eastAsia="宋体" w:hAnsi="宋体" w:cs="宋体" w:hint="eastAsia"/>
                <w:b/>
                <w:bCs/>
                <w:color w:val="000000" w:themeColor="text1"/>
                <w:sz w:val="18"/>
                <w:szCs w:val="18"/>
              </w:rPr>
              <w:t>指标说明</w:t>
            </w:r>
          </w:p>
          <w:p w:rsidR="00EF5A1A" w:rsidRDefault="00EF5A1A">
            <w:pPr>
              <w:pStyle w:val="Char"/>
              <w:adjustRightInd w:val="0"/>
              <w:snapToGrid w:val="0"/>
              <w:spacing w:after="0" w:line="240" w:lineRule="auto"/>
              <w:jc w:val="center"/>
              <w:rPr>
                <w:rFonts w:ascii="宋体" w:eastAsia="宋体" w:hAnsi="宋体" w:cs="宋体"/>
                <w:b/>
                <w:bCs/>
                <w:color w:val="000000" w:themeColor="text1"/>
                <w:sz w:val="18"/>
                <w:szCs w:val="18"/>
              </w:rPr>
            </w:pPr>
          </w:p>
        </w:tc>
      </w:tr>
      <w:tr w:rsidR="00EF5A1A">
        <w:trPr>
          <w:trHeight w:val="1278"/>
          <w:jc w:val="center"/>
        </w:trPr>
        <w:tc>
          <w:tcPr>
            <w:tcW w:w="958" w:type="dxa"/>
            <w:vMerge w:val="restart"/>
            <w:vAlign w:val="center"/>
          </w:tcPr>
          <w:p w:rsidR="00EF5A1A" w:rsidRDefault="006808F9">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项目</w:t>
            </w:r>
          </w:p>
          <w:p w:rsidR="00EF5A1A" w:rsidRDefault="006808F9">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决策</w:t>
            </w:r>
          </w:p>
          <w:p w:rsidR="00EF5A1A" w:rsidRDefault="006808F9">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(20</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决策依据</w:t>
            </w:r>
          </w:p>
        </w:tc>
        <w:tc>
          <w:tcPr>
            <w:tcW w:w="1705" w:type="dxa"/>
          </w:tcPr>
          <w:p w:rsidR="00EF5A1A" w:rsidRDefault="00EF5A1A">
            <w:pPr>
              <w:adjustRightInd w:val="0"/>
              <w:snapToGrid w:val="0"/>
              <w:rPr>
                <w:rFonts w:ascii="宋体" w:eastAsia="宋体" w:hAnsi="宋体" w:cs="宋体"/>
                <w:color w:val="000000" w:themeColor="text1"/>
                <w:sz w:val="18"/>
                <w:szCs w:val="18"/>
              </w:rPr>
            </w:pP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贯彻中央</w:t>
            </w:r>
            <w:r>
              <w:rPr>
                <w:rFonts w:ascii="宋体" w:eastAsia="宋体" w:hAnsi="宋体" w:cs="宋体" w:hint="eastAsia"/>
                <w:color w:val="000000" w:themeColor="text1"/>
                <w:sz w:val="18"/>
                <w:szCs w:val="18"/>
              </w:rPr>
              <w:t>对</w:t>
            </w:r>
            <w:r>
              <w:rPr>
                <w:rFonts w:ascii="宋体" w:eastAsia="宋体" w:hAnsi="宋体" w:cs="宋体" w:hint="eastAsia"/>
                <w:color w:val="000000" w:themeColor="text1"/>
                <w:sz w:val="18"/>
                <w:szCs w:val="18"/>
              </w:rPr>
              <w:t>医疗保障制度改革</w:t>
            </w:r>
            <w:r>
              <w:rPr>
                <w:rFonts w:ascii="宋体" w:eastAsia="宋体" w:hAnsi="宋体" w:cs="宋体" w:hint="eastAsia"/>
                <w:color w:val="000000" w:themeColor="text1"/>
                <w:sz w:val="18"/>
                <w:szCs w:val="18"/>
              </w:rPr>
              <w:t>中</w:t>
            </w:r>
            <w:r>
              <w:rPr>
                <w:rFonts w:ascii="宋体" w:eastAsia="宋体" w:hAnsi="宋体" w:cs="宋体" w:hint="eastAsia"/>
                <w:color w:val="000000" w:themeColor="text1"/>
                <w:sz w:val="18"/>
                <w:szCs w:val="18"/>
              </w:rPr>
              <w:t>有关</w:t>
            </w:r>
            <w:r>
              <w:rPr>
                <w:rFonts w:ascii="宋体" w:eastAsia="宋体" w:hAnsi="宋体" w:cs="宋体" w:hint="eastAsia"/>
                <w:color w:val="000000" w:themeColor="text1"/>
                <w:sz w:val="18"/>
                <w:szCs w:val="18"/>
              </w:rPr>
              <w:t>医疗救助</w:t>
            </w:r>
            <w:r>
              <w:rPr>
                <w:rFonts w:ascii="宋体" w:eastAsia="宋体" w:hAnsi="宋体" w:cs="宋体" w:hint="eastAsia"/>
                <w:color w:val="000000" w:themeColor="text1"/>
                <w:sz w:val="18"/>
                <w:szCs w:val="18"/>
              </w:rPr>
              <w:t>决策部署</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依据</w:t>
            </w:r>
            <w:r>
              <w:rPr>
                <w:rFonts w:ascii="宋体" w:eastAsia="宋体" w:hAnsi="宋体" w:cs="宋体" w:hint="eastAsia"/>
                <w:color w:val="000000" w:themeColor="text1"/>
                <w:sz w:val="18"/>
                <w:szCs w:val="18"/>
              </w:rPr>
              <w:t>党</w:t>
            </w:r>
            <w:r>
              <w:rPr>
                <w:rFonts w:ascii="宋体" w:eastAsia="宋体" w:hAnsi="宋体" w:cs="宋体" w:hint="eastAsia"/>
                <w:color w:val="000000" w:themeColor="text1"/>
                <w:sz w:val="18"/>
                <w:szCs w:val="18"/>
              </w:rPr>
              <w:t>中央和国务院深化医疗保障制度改革的意见和《“十四五”全民医疗保障规划》进行决策</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①符合《中共中央国务院关于深化医疗保障制度改革的意见》</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w:t>
            </w:r>
            <w:r>
              <w:rPr>
                <w:rFonts w:ascii="宋体" w:eastAsia="宋体" w:hAnsi="宋体" w:cs="宋体" w:hint="eastAsia"/>
                <w:color w:val="000000" w:themeColor="text1"/>
                <w:sz w:val="18"/>
                <w:szCs w:val="18"/>
              </w:rPr>
              <w:t>印发</w:t>
            </w:r>
            <w:r>
              <w:rPr>
                <w:rFonts w:ascii="宋体" w:eastAsia="宋体" w:hAnsi="宋体" w:cs="宋体" w:hint="eastAsia"/>
                <w:color w:val="000000" w:themeColor="text1"/>
                <w:sz w:val="18"/>
                <w:szCs w:val="18"/>
              </w:rPr>
              <w:t>《“十四五”全民医疗保障规划》</w:t>
            </w:r>
            <w:r>
              <w:rPr>
                <w:rFonts w:ascii="宋体" w:eastAsia="宋体" w:hAnsi="宋体" w:cs="宋体" w:hint="eastAsia"/>
                <w:color w:val="000000" w:themeColor="text1"/>
                <w:sz w:val="18"/>
                <w:szCs w:val="18"/>
              </w:rPr>
              <w:t>2022</w:t>
            </w:r>
            <w:r>
              <w:rPr>
                <w:rFonts w:ascii="宋体" w:eastAsia="宋体" w:hAnsi="宋体" w:cs="宋体" w:hint="eastAsia"/>
                <w:color w:val="000000" w:themeColor="text1"/>
                <w:sz w:val="18"/>
                <w:szCs w:val="18"/>
              </w:rPr>
              <w:t>年度任务的相关文件</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p>
        </w:tc>
        <w:tc>
          <w:tcPr>
            <w:tcW w:w="540" w:type="dxa"/>
          </w:tcPr>
          <w:p w:rsidR="00EF5A1A" w:rsidRDefault="00EF5A1A">
            <w:pPr>
              <w:adjustRightInd w:val="0"/>
              <w:snapToGrid w:val="0"/>
              <w:jc w:val="center"/>
              <w:rPr>
                <w:rFonts w:ascii="宋体" w:eastAsia="宋体" w:hAnsi="宋体" w:cs="宋体"/>
                <w:color w:val="000000" w:themeColor="text1"/>
                <w:sz w:val="18"/>
                <w:szCs w:val="18"/>
              </w:rPr>
            </w:pPr>
          </w:p>
          <w:p w:rsidR="00EF5A1A" w:rsidRDefault="00EF5A1A">
            <w:pPr>
              <w:adjustRightInd w:val="0"/>
              <w:snapToGrid w:val="0"/>
              <w:jc w:val="center"/>
              <w:rPr>
                <w:rFonts w:ascii="宋体" w:eastAsia="宋体" w:hAnsi="宋体" w:cs="宋体"/>
                <w:color w:val="000000" w:themeColor="text1"/>
                <w:sz w:val="18"/>
                <w:szCs w:val="18"/>
              </w:rPr>
            </w:pPr>
          </w:p>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tcPr>
          <w:p w:rsidR="00EF5A1A" w:rsidRDefault="00EF5A1A">
            <w:pPr>
              <w:adjustRightInd w:val="0"/>
              <w:snapToGrid w:val="0"/>
              <w:rPr>
                <w:rFonts w:ascii="宋体" w:eastAsia="宋体" w:hAnsi="宋体" w:cs="宋体"/>
                <w:color w:val="000000" w:themeColor="text1"/>
                <w:sz w:val="18"/>
                <w:szCs w:val="18"/>
              </w:rPr>
            </w:pP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用以反映和考核各级医保部门贯彻中央医疗保障制度改革和《“十四五”全民医疗保障规划》有关医疗救助决策部署情况</w:t>
            </w:r>
          </w:p>
        </w:tc>
      </w:tr>
      <w:tr w:rsidR="00EF5A1A">
        <w:trPr>
          <w:trHeight w:val="1401"/>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执行预算绩效管理和资金管理办法</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决策符合预算绩效管理要求和资金管理办法</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①符合《国家医疗保障局关于全面实施预算绩效管理的意见》（</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②符合《中央财政医疗救助补助资金管理办法》以及各省市制定的相关管理办法（</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用以反映和考核决策是否符合预算绩效管理要求和资金管理办法</w:t>
            </w:r>
          </w:p>
        </w:tc>
      </w:tr>
      <w:tr w:rsidR="00EF5A1A">
        <w:trPr>
          <w:trHeight w:val="90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Align w:val="center"/>
          </w:tcPr>
          <w:p w:rsidR="00EF5A1A" w:rsidRDefault="006808F9">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决策过程</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决策程序规范</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程序合规完整</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规范</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规范</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资金分配按规定履行报批程序，审批文件和手续齐全</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用以反映和考核项目决策规范程度</w:t>
            </w:r>
          </w:p>
        </w:tc>
      </w:tr>
      <w:tr w:rsidR="00EF5A1A">
        <w:trPr>
          <w:trHeight w:val="1401"/>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绩效目标</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绩效目标设置科学</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遵照财政部和国家医疗保障局下达的年度总体目标和具体绩效指标</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年度总体目标和具体绩效指标合理科学</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年度总体目标和具体绩效指标合理科学</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①体现“通过实施城乡医疗救助，减轻困难群众看病就医负担，增强医疗保障体系的托底保障能力”等年度总体目标的基本要素（</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②明确产出指标、效益指标、满意度指标等绩效指标要求（</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用以反映绩效目标的设置情况</w:t>
            </w:r>
          </w:p>
        </w:tc>
      </w:tr>
      <w:tr w:rsidR="00EF5A1A">
        <w:trPr>
          <w:trHeight w:val="1008"/>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绩效目标分解细化</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对财政部和国家医疗保障局下达的年度总体目标结合实际进行分解细化</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按照</w:t>
            </w:r>
            <w:r>
              <w:rPr>
                <w:rFonts w:asciiTheme="majorEastAsia" w:eastAsiaTheme="majorEastAsia" w:hAnsiTheme="majorEastAsia" w:hint="eastAsia"/>
                <w:sz w:val="18"/>
                <w:szCs w:val="18"/>
              </w:rPr>
              <w:t>各</w:t>
            </w:r>
            <w:r>
              <w:rPr>
                <w:rFonts w:asciiTheme="majorEastAsia" w:eastAsiaTheme="majorEastAsia" w:hAnsiTheme="majorEastAsia" w:hint="eastAsia"/>
                <w:sz w:val="18"/>
                <w:szCs w:val="18"/>
              </w:rPr>
              <w:t>级要求同步细化绩效目标</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按照</w:t>
            </w:r>
            <w:r>
              <w:rPr>
                <w:rFonts w:asciiTheme="majorEastAsia" w:eastAsiaTheme="majorEastAsia" w:hAnsiTheme="majorEastAsia" w:hint="eastAsia"/>
                <w:sz w:val="18"/>
                <w:szCs w:val="18"/>
              </w:rPr>
              <w:t>各</w:t>
            </w:r>
            <w:r>
              <w:rPr>
                <w:rFonts w:asciiTheme="majorEastAsia" w:eastAsiaTheme="majorEastAsia" w:hAnsiTheme="majorEastAsia" w:hint="eastAsia"/>
                <w:sz w:val="18"/>
                <w:szCs w:val="18"/>
              </w:rPr>
              <w:t>级要求同步细化绩效目标</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①省级按照要求同步细化分解下达绩效目标（</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②细化分解下达的绩效目标与财政部和国家医疗保障局要求一致（</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用以反映绩效目标的分解情况</w:t>
            </w:r>
          </w:p>
        </w:tc>
      </w:tr>
      <w:tr w:rsidR="00EF5A1A">
        <w:trPr>
          <w:trHeight w:val="168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资金分配</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资金分配合理性</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符合预算管理和医疗救助补助资金管理要求</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符合</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①资金分配方案符合财政部和国家医疗保障局下达的文件要求（</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②城乡医疗救助资金按需求因素、财力因素、绩效因素等，采取因素法分配（</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③资金分配与绩效评价结果挂钩（</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用以反映预算资金分配的合理性</w:t>
            </w:r>
          </w:p>
        </w:tc>
      </w:tr>
      <w:tr w:rsidR="00EF5A1A">
        <w:trPr>
          <w:trHeight w:val="569"/>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资金分配规范性</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按规定时限分配下达资金</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资金到位及时</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资金到位及时</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①省级财政部门收到中央财政转移支付资金预算后</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在</w:t>
            </w:r>
            <w:r>
              <w:rPr>
                <w:rFonts w:ascii="宋体" w:eastAsia="宋体" w:hAnsi="宋体" w:cs="宋体" w:hint="eastAsia"/>
                <w:color w:val="000000" w:themeColor="text1"/>
                <w:sz w:val="18"/>
                <w:szCs w:val="18"/>
              </w:rPr>
              <w:t>30</w:t>
            </w:r>
            <w:r>
              <w:rPr>
                <w:rFonts w:ascii="宋体" w:eastAsia="宋体" w:hAnsi="宋体" w:cs="宋体" w:hint="eastAsia"/>
                <w:color w:val="000000" w:themeColor="text1"/>
                <w:sz w:val="18"/>
                <w:szCs w:val="18"/>
              </w:rPr>
              <w:t>日内会同医保部门正式下达到本行政区域设立基金地区的财政部门和医保部门（</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②设立基金地区的财政部门在收到上级财政医疗救助资金预算指标文件后，于年度内按序时进度及时拨付至本级医保基金财政专户（</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用以反映资金分配的规范性</w:t>
            </w:r>
          </w:p>
        </w:tc>
      </w:tr>
      <w:tr w:rsidR="00EF5A1A">
        <w:trPr>
          <w:trHeight w:val="406"/>
          <w:jc w:val="center"/>
        </w:trPr>
        <w:tc>
          <w:tcPr>
            <w:tcW w:w="958" w:type="dxa"/>
            <w:vMerge w:val="restart"/>
            <w:vAlign w:val="center"/>
          </w:tcPr>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EF5A1A">
            <w:pPr>
              <w:pStyle w:val="1"/>
              <w:adjustRightInd w:val="0"/>
              <w:snapToGrid w:val="0"/>
              <w:spacing w:beforeAutospacing="0" w:afterAutospacing="0"/>
              <w:outlineLvl w:val="0"/>
              <w:rPr>
                <w:rFonts w:cs="宋体" w:hint="default"/>
                <w:color w:val="000000" w:themeColor="text1"/>
                <w:sz w:val="18"/>
                <w:szCs w:val="18"/>
              </w:rPr>
            </w:pPr>
          </w:p>
          <w:p w:rsidR="00EF5A1A" w:rsidRDefault="00EF5A1A">
            <w:pPr>
              <w:spacing w:line="240" w:lineRule="exact"/>
              <w:jc w:val="center"/>
              <w:rPr>
                <w:rFonts w:ascii="宋体" w:eastAsia="宋体" w:hAnsi="宋体" w:cs="宋体"/>
                <w:color w:val="000000" w:themeColor="text1"/>
                <w:sz w:val="18"/>
                <w:szCs w:val="18"/>
              </w:rPr>
            </w:pP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过程</w:t>
            </w: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管理</w:t>
            </w: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(20</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资金管理</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资金使用合规性</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按规定使用，拨付至专户、专款专用</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按规定使用</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按规定使用</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①资金使用按照城乡医疗救助资金管理有关规定执行</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②设立基金地区的财政部门将上级拨付的救助资金拨付至本级医疗救助基金财政专户</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③</w:t>
            </w:r>
            <w:r>
              <w:rPr>
                <w:rFonts w:ascii="宋体" w:eastAsia="宋体" w:hAnsi="宋体" w:cs="宋体" w:hint="eastAsia"/>
                <w:color w:val="000000" w:themeColor="text1"/>
                <w:sz w:val="18"/>
                <w:szCs w:val="18"/>
              </w:rPr>
              <w:t>未</w:t>
            </w:r>
            <w:r>
              <w:rPr>
                <w:rFonts w:ascii="宋体" w:eastAsia="宋体" w:hAnsi="宋体" w:cs="宋体" w:hint="eastAsia"/>
                <w:color w:val="000000" w:themeColor="text1"/>
                <w:sz w:val="18"/>
                <w:szCs w:val="18"/>
              </w:rPr>
              <w:t>随意扩大受益人员范围</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④</w:t>
            </w:r>
            <w:r>
              <w:rPr>
                <w:rFonts w:ascii="宋体" w:eastAsia="宋体" w:hAnsi="宋体" w:cs="宋体" w:hint="eastAsia"/>
                <w:color w:val="000000" w:themeColor="text1"/>
                <w:sz w:val="18"/>
                <w:szCs w:val="18"/>
              </w:rPr>
              <w:t>有挪用医疗救助资金的情况，本项不得分</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用以反映医疗救助资金按规定使用、将其拨付医疗救助基金财政专户和专款专用情况</w:t>
            </w:r>
          </w:p>
        </w:tc>
      </w:tr>
      <w:tr w:rsidR="00EF5A1A">
        <w:trPr>
          <w:trHeight w:val="1539"/>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资金监管有效性</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监管措施有力</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按管理制度进行监管</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按管理制度进行监管</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①省级医疗保障部门对本地区医疗救助资金的绩效运行进行监查</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及时发现和纠正问题</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②统筹区医疗保障部门对本地区医疗救助资金的绩效运行进行监控和评价</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及时发现和纠正问题</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用以反映资金使用监管情况</w:t>
            </w:r>
          </w:p>
        </w:tc>
      </w:tr>
      <w:tr w:rsidR="00EF5A1A">
        <w:trPr>
          <w:trHeight w:val="923"/>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组织管理</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管理制度健全有效性</w:t>
            </w:r>
          </w:p>
        </w:tc>
        <w:tc>
          <w:tcPr>
            <w:tcW w:w="159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制度健全且执行有效</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制度健全</w:t>
            </w:r>
            <w:r>
              <w:rPr>
                <w:rFonts w:asciiTheme="majorEastAsia" w:eastAsiaTheme="majorEastAsia" w:hAnsiTheme="majorEastAsia" w:hint="eastAsia"/>
                <w:sz w:val="18"/>
                <w:szCs w:val="18"/>
              </w:rPr>
              <w:t>并</w:t>
            </w:r>
            <w:r>
              <w:rPr>
                <w:rFonts w:asciiTheme="majorEastAsia" w:eastAsiaTheme="majorEastAsia" w:hAnsiTheme="majorEastAsia" w:hint="eastAsia"/>
                <w:sz w:val="18"/>
                <w:szCs w:val="18"/>
              </w:rPr>
              <w:t>有效</w:t>
            </w:r>
            <w:r>
              <w:rPr>
                <w:rFonts w:asciiTheme="majorEastAsia" w:eastAsiaTheme="majorEastAsia" w:hAnsiTheme="majorEastAsia" w:hint="eastAsia"/>
                <w:sz w:val="18"/>
                <w:szCs w:val="18"/>
              </w:rPr>
              <w:t>执行</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制度健全</w:t>
            </w:r>
            <w:r>
              <w:rPr>
                <w:rFonts w:asciiTheme="majorEastAsia" w:eastAsiaTheme="majorEastAsia" w:hAnsiTheme="majorEastAsia" w:hint="eastAsia"/>
                <w:sz w:val="18"/>
                <w:szCs w:val="18"/>
              </w:rPr>
              <w:t>并</w:t>
            </w:r>
            <w:r>
              <w:rPr>
                <w:rFonts w:asciiTheme="majorEastAsia" w:eastAsiaTheme="majorEastAsia" w:hAnsiTheme="majorEastAsia" w:hint="eastAsia"/>
                <w:sz w:val="18"/>
                <w:szCs w:val="18"/>
              </w:rPr>
              <w:t>有效</w:t>
            </w:r>
            <w:r>
              <w:rPr>
                <w:rFonts w:asciiTheme="majorEastAsia" w:eastAsiaTheme="majorEastAsia" w:hAnsiTheme="majorEastAsia" w:hint="eastAsia"/>
                <w:sz w:val="18"/>
                <w:szCs w:val="18"/>
              </w:rPr>
              <w:t>执行</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①各级部门围绕夯实医疗救助托底保障功能，建立健全了相应管理办法和监管措施</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②建立的管理办法和监管措施执行有</w:t>
            </w:r>
            <w:r>
              <w:rPr>
                <w:rFonts w:ascii="宋体" w:eastAsia="宋体" w:hAnsi="宋体" w:cs="宋体" w:hint="eastAsia"/>
                <w:color w:val="000000" w:themeColor="text1"/>
                <w:sz w:val="18"/>
                <w:szCs w:val="18"/>
              </w:rPr>
              <w:lastRenderedPageBreak/>
              <w:t>效</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4</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用以反映各级建章立制，发挥医疗救助托底保障作用的情况</w:t>
            </w:r>
          </w:p>
        </w:tc>
      </w:tr>
      <w:tr w:rsidR="00EF5A1A">
        <w:trPr>
          <w:trHeight w:val="881"/>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tcBorders>
              <w:bottom w:val="single" w:sz="4" w:space="0" w:color="auto"/>
            </w:tcBorders>
            <w:vAlign w:val="center"/>
          </w:tcPr>
          <w:p w:rsidR="00EF5A1A" w:rsidRDefault="00EF5A1A">
            <w:pPr>
              <w:spacing w:line="240" w:lineRule="exact"/>
              <w:jc w:val="center"/>
              <w:rPr>
                <w:rFonts w:ascii="宋体" w:eastAsia="宋体" w:hAnsi="宋体" w:cs="宋体"/>
                <w:color w:val="000000" w:themeColor="text1"/>
                <w:sz w:val="18"/>
                <w:szCs w:val="18"/>
              </w:rPr>
            </w:pPr>
          </w:p>
        </w:tc>
        <w:tc>
          <w:tcPr>
            <w:tcW w:w="1705" w:type="dxa"/>
            <w:tcBorders>
              <w:bottom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绩效评价机制健全性</w:t>
            </w:r>
          </w:p>
        </w:tc>
        <w:tc>
          <w:tcPr>
            <w:tcW w:w="1590" w:type="dxa"/>
            <w:tcBorders>
              <w:bottom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全面实现绩效管理</w:t>
            </w:r>
          </w:p>
        </w:tc>
        <w:tc>
          <w:tcPr>
            <w:tcW w:w="1345" w:type="dxa"/>
            <w:tcBorders>
              <w:bottom w:val="single" w:sz="4" w:space="0" w:color="auto"/>
            </w:tcBorders>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全面实现绩效管理</w:t>
            </w:r>
          </w:p>
        </w:tc>
        <w:tc>
          <w:tcPr>
            <w:tcW w:w="1350" w:type="dxa"/>
            <w:tcBorders>
              <w:bottom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全面实现绩效管理</w:t>
            </w:r>
          </w:p>
        </w:tc>
        <w:tc>
          <w:tcPr>
            <w:tcW w:w="3165" w:type="dxa"/>
            <w:tcBorders>
              <w:bottom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①绩效自评组织有力</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②评价报告规范完整</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③自评报告上报及时</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tcBorders>
              <w:bottom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w:t>
            </w:r>
          </w:p>
        </w:tc>
        <w:tc>
          <w:tcPr>
            <w:tcW w:w="2579" w:type="dxa"/>
            <w:tcBorders>
              <w:bottom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用以反映全过程预算绩效管理情况</w:t>
            </w:r>
          </w:p>
        </w:tc>
      </w:tr>
      <w:tr w:rsidR="00EF5A1A">
        <w:trPr>
          <w:trHeight w:val="1030"/>
          <w:jc w:val="center"/>
        </w:trPr>
        <w:tc>
          <w:tcPr>
            <w:tcW w:w="958" w:type="dxa"/>
            <w:vMerge w:val="restart"/>
            <w:tcBorders>
              <w:right w:val="single" w:sz="4" w:space="0" w:color="auto"/>
            </w:tcBorders>
            <w:vAlign w:val="center"/>
          </w:tcPr>
          <w:p w:rsidR="00EF5A1A" w:rsidRDefault="00EF5A1A">
            <w:pPr>
              <w:spacing w:line="240" w:lineRule="exact"/>
              <w:rPr>
                <w:rFonts w:ascii="宋体" w:eastAsia="宋体" w:hAnsi="宋体" w:cs="宋体"/>
                <w:color w:val="000000" w:themeColor="text1"/>
                <w:sz w:val="18"/>
                <w:szCs w:val="18"/>
              </w:rPr>
            </w:pPr>
          </w:p>
          <w:p w:rsidR="00EF5A1A" w:rsidRDefault="00EF5A1A">
            <w:pPr>
              <w:pStyle w:val="1"/>
              <w:outlineLvl w:val="0"/>
              <w:rPr>
                <w:rFonts w:cs="宋体" w:hint="default"/>
                <w:color w:val="000000" w:themeColor="text1"/>
                <w:sz w:val="18"/>
                <w:szCs w:val="18"/>
              </w:rPr>
            </w:pPr>
          </w:p>
          <w:p w:rsidR="00EF5A1A" w:rsidRDefault="00EF5A1A">
            <w:pPr>
              <w:rPr>
                <w:rFonts w:ascii="宋体" w:eastAsia="宋体" w:hAnsi="宋体" w:cs="宋体"/>
                <w:color w:val="000000" w:themeColor="text1"/>
                <w:sz w:val="18"/>
                <w:szCs w:val="18"/>
              </w:rPr>
            </w:pPr>
          </w:p>
          <w:p w:rsidR="00EF5A1A" w:rsidRDefault="00EF5A1A">
            <w:pPr>
              <w:pStyle w:val="1"/>
              <w:outlineLvl w:val="0"/>
              <w:rPr>
                <w:rFonts w:cs="宋体" w:hint="default"/>
                <w:color w:val="000000" w:themeColor="text1"/>
                <w:sz w:val="18"/>
                <w:szCs w:val="18"/>
              </w:rPr>
            </w:pPr>
          </w:p>
          <w:p w:rsidR="00EF5A1A" w:rsidRDefault="00EF5A1A">
            <w:pPr>
              <w:rPr>
                <w:rFonts w:ascii="宋体" w:eastAsia="宋体" w:hAnsi="宋体" w:cs="宋体"/>
                <w:color w:val="000000" w:themeColor="text1"/>
                <w:sz w:val="18"/>
                <w:szCs w:val="18"/>
              </w:rPr>
            </w:pPr>
          </w:p>
          <w:p w:rsidR="00EF5A1A" w:rsidRDefault="00EF5A1A">
            <w:pPr>
              <w:pStyle w:val="1"/>
              <w:outlineLvl w:val="0"/>
              <w:rPr>
                <w:rFonts w:cs="宋体" w:hint="default"/>
                <w:color w:val="000000" w:themeColor="text1"/>
                <w:sz w:val="18"/>
                <w:szCs w:val="18"/>
              </w:rPr>
            </w:pPr>
          </w:p>
          <w:p w:rsidR="00EF5A1A" w:rsidRDefault="00EF5A1A">
            <w:pPr>
              <w:rPr>
                <w:rFonts w:ascii="宋体" w:eastAsia="宋体" w:hAnsi="宋体" w:cs="宋体"/>
                <w:color w:val="000000" w:themeColor="text1"/>
                <w:sz w:val="18"/>
                <w:szCs w:val="18"/>
              </w:rPr>
            </w:pPr>
          </w:p>
          <w:p w:rsidR="00EF5A1A" w:rsidRDefault="00EF5A1A">
            <w:pPr>
              <w:pStyle w:val="1"/>
              <w:outlineLvl w:val="0"/>
              <w:rPr>
                <w:rFonts w:cs="宋体" w:hint="default"/>
                <w:color w:val="000000" w:themeColor="text1"/>
                <w:sz w:val="18"/>
                <w:szCs w:val="18"/>
              </w:rPr>
            </w:pPr>
          </w:p>
          <w:p w:rsidR="00EF5A1A" w:rsidRDefault="00EF5A1A">
            <w:pPr>
              <w:rPr>
                <w:rFonts w:ascii="宋体" w:eastAsia="宋体" w:hAnsi="宋体" w:cs="宋体"/>
                <w:color w:val="000000" w:themeColor="text1"/>
                <w:sz w:val="18"/>
                <w:szCs w:val="18"/>
              </w:rPr>
            </w:pP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产出</w:t>
            </w: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指标</w:t>
            </w: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37</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703" w:type="dxa"/>
            <w:vMerge w:val="restart"/>
            <w:tcBorders>
              <w:top w:val="single" w:sz="4" w:space="0" w:color="auto"/>
              <w:left w:val="single" w:sz="4" w:space="0" w:color="auto"/>
              <w:bottom w:val="single" w:sz="4" w:space="0" w:color="auto"/>
              <w:right w:val="single" w:sz="4" w:space="0" w:color="auto"/>
            </w:tcBorders>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数量指标</w:t>
            </w:r>
          </w:p>
        </w:tc>
        <w:tc>
          <w:tcPr>
            <w:tcW w:w="1705"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通过医疗救助渠道资助参保的低保对象、特困人员、防止返贫监测对象人数</w:t>
            </w:r>
          </w:p>
        </w:tc>
        <w:tc>
          <w:tcPr>
            <w:tcW w:w="1590"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14000</w:t>
            </w:r>
            <w:r>
              <w:rPr>
                <w:rFonts w:ascii="宋体" w:eastAsia="宋体" w:hAnsi="宋体" w:cs="宋体" w:hint="eastAsia"/>
                <w:color w:val="000000" w:themeColor="text1"/>
                <w:sz w:val="18"/>
                <w:szCs w:val="18"/>
              </w:rPr>
              <w:t>人</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14535</w:t>
            </w:r>
          </w:p>
        </w:tc>
        <w:tc>
          <w:tcPr>
            <w:tcW w:w="1350"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14808</w:t>
            </w:r>
          </w:p>
        </w:tc>
        <w:tc>
          <w:tcPr>
            <w:tcW w:w="3165"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达到标准值</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50%</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*5</w:t>
            </w:r>
          </w:p>
        </w:tc>
        <w:tc>
          <w:tcPr>
            <w:tcW w:w="540"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w:t>
            </w:r>
          </w:p>
        </w:tc>
        <w:tc>
          <w:tcPr>
            <w:tcW w:w="2579" w:type="dxa"/>
            <w:tcBorders>
              <w:top w:val="single" w:sz="4" w:space="0" w:color="auto"/>
              <w:left w:val="single" w:sz="4" w:space="0" w:color="auto"/>
              <w:bottom w:val="single" w:sz="4" w:space="0" w:color="auto"/>
              <w:right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本年度</w:t>
            </w:r>
            <w:r>
              <w:rPr>
                <w:rFonts w:ascii="宋体" w:eastAsia="宋体" w:hAnsi="宋体" w:cs="宋体" w:hint="eastAsia"/>
                <w:color w:val="000000" w:themeColor="text1"/>
                <w:sz w:val="18"/>
                <w:szCs w:val="18"/>
              </w:rPr>
              <w:t>医疗救助渠道资助参保的低保对象、特困人员、防止返贫监测对象人数</w:t>
            </w:r>
          </w:p>
        </w:tc>
      </w:tr>
      <w:tr w:rsidR="00EF5A1A">
        <w:trPr>
          <w:trHeight w:val="9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tcBorders>
              <w:top w:val="single" w:sz="4" w:space="0" w:color="auto"/>
            </w:tcBorders>
            <w:vAlign w:val="center"/>
          </w:tcPr>
          <w:p w:rsidR="00EF5A1A" w:rsidRDefault="00EF5A1A">
            <w:pPr>
              <w:spacing w:line="240" w:lineRule="exact"/>
              <w:rPr>
                <w:rFonts w:ascii="宋体" w:eastAsia="宋体" w:hAnsi="宋体" w:cs="宋体"/>
                <w:color w:val="000000" w:themeColor="text1"/>
                <w:sz w:val="18"/>
                <w:szCs w:val="18"/>
              </w:rPr>
            </w:pPr>
          </w:p>
        </w:tc>
        <w:tc>
          <w:tcPr>
            <w:tcW w:w="170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医疗救助门诊和住院救助人次数</w:t>
            </w:r>
          </w:p>
        </w:tc>
        <w:tc>
          <w:tcPr>
            <w:tcW w:w="159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60000</w:t>
            </w:r>
            <w:r>
              <w:rPr>
                <w:rFonts w:ascii="宋体" w:eastAsia="宋体" w:hAnsi="宋体" w:cs="宋体" w:hint="eastAsia"/>
                <w:color w:val="000000" w:themeColor="text1"/>
                <w:sz w:val="18"/>
                <w:szCs w:val="18"/>
              </w:rPr>
              <w:t>人次</w:t>
            </w:r>
          </w:p>
        </w:tc>
        <w:tc>
          <w:tcPr>
            <w:tcW w:w="1345" w:type="dxa"/>
            <w:tcBorders>
              <w:top w:val="single" w:sz="4" w:space="0" w:color="auto"/>
            </w:tcBorders>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65715</w:t>
            </w:r>
          </w:p>
        </w:tc>
        <w:tc>
          <w:tcPr>
            <w:tcW w:w="135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95457</w:t>
            </w:r>
          </w:p>
        </w:tc>
        <w:tc>
          <w:tcPr>
            <w:tcW w:w="316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达到标准值</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50%</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*5</w:t>
            </w:r>
          </w:p>
        </w:tc>
        <w:tc>
          <w:tcPr>
            <w:tcW w:w="54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5</w:t>
            </w:r>
          </w:p>
        </w:tc>
        <w:tc>
          <w:tcPr>
            <w:tcW w:w="2579"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本年度</w:t>
            </w:r>
            <w:r>
              <w:rPr>
                <w:rFonts w:ascii="宋体" w:eastAsia="宋体" w:hAnsi="宋体" w:cs="宋体" w:hint="eastAsia"/>
                <w:color w:val="000000" w:themeColor="text1"/>
                <w:sz w:val="18"/>
                <w:szCs w:val="18"/>
              </w:rPr>
              <w:t>医疗救助门诊和住院救助人次数</w:t>
            </w:r>
          </w:p>
        </w:tc>
      </w:tr>
      <w:tr w:rsidR="00EF5A1A">
        <w:trPr>
          <w:trHeight w:val="1262"/>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tcBorders>
              <w:top w:val="single" w:sz="4" w:space="0" w:color="auto"/>
            </w:tcBorders>
            <w:vAlign w:val="center"/>
          </w:tcPr>
          <w:p w:rsidR="00EF5A1A" w:rsidRDefault="00EF5A1A">
            <w:pPr>
              <w:spacing w:line="240" w:lineRule="exact"/>
              <w:rPr>
                <w:rFonts w:ascii="宋体" w:eastAsia="宋体" w:hAnsi="宋体" w:cs="宋体"/>
                <w:color w:val="000000" w:themeColor="text1"/>
                <w:sz w:val="18"/>
                <w:szCs w:val="18"/>
              </w:rPr>
            </w:pPr>
          </w:p>
        </w:tc>
        <w:tc>
          <w:tcPr>
            <w:tcW w:w="170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低保对象、特困人员以及其他符合资助参保条件的农村低收入人口参保率</w:t>
            </w:r>
          </w:p>
        </w:tc>
        <w:tc>
          <w:tcPr>
            <w:tcW w:w="159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99%</w:t>
            </w:r>
          </w:p>
        </w:tc>
        <w:tc>
          <w:tcPr>
            <w:tcW w:w="1345" w:type="dxa"/>
            <w:tcBorders>
              <w:top w:val="single" w:sz="4" w:space="0" w:color="auto"/>
            </w:tcBorders>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100</w:t>
            </w:r>
            <w:r>
              <w:rPr>
                <w:rFonts w:asciiTheme="majorEastAsia" w:eastAsiaTheme="majorEastAsia" w:hAnsiTheme="majorEastAsia" w:hint="eastAsia"/>
                <w:sz w:val="18"/>
                <w:szCs w:val="18"/>
              </w:rPr>
              <w:t>%</w:t>
            </w:r>
          </w:p>
        </w:tc>
        <w:tc>
          <w:tcPr>
            <w:tcW w:w="135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100</w:t>
            </w:r>
            <w:r>
              <w:rPr>
                <w:rFonts w:asciiTheme="majorEastAsia" w:eastAsiaTheme="majorEastAsia" w:hAnsiTheme="majorEastAsia" w:hint="eastAsia"/>
                <w:sz w:val="18"/>
                <w:szCs w:val="18"/>
              </w:rPr>
              <w:t>%</w:t>
            </w:r>
          </w:p>
        </w:tc>
        <w:tc>
          <w:tcPr>
            <w:tcW w:w="316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99</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5</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70%-</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4</w:t>
            </w:r>
          </w:p>
        </w:tc>
        <w:tc>
          <w:tcPr>
            <w:tcW w:w="54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本年度</w:t>
            </w:r>
            <w:r>
              <w:rPr>
                <w:rFonts w:ascii="宋体" w:eastAsia="宋体" w:hAnsi="宋体" w:cs="宋体" w:hint="eastAsia"/>
                <w:color w:val="000000" w:themeColor="text1"/>
                <w:sz w:val="18"/>
                <w:szCs w:val="18"/>
              </w:rPr>
              <w:t>符合资助参保条件的农村低收入人口参保率</w:t>
            </w:r>
          </w:p>
        </w:tc>
      </w:tr>
      <w:tr w:rsidR="00EF5A1A">
        <w:trPr>
          <w:trHeight w:val="9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tcBorders>
              <w:top w:val="single" w:sz="4" w:space="0" w:color="auto"/>
            </w:tcBorders>
            <w:vAlign w:val="center"/>
          </w:tcPr>
          <w:p w:rsidR="00EF5A1A" w:rsidRDefault="00EF5A1A">
            <w:pPr>
              <w:spacing w:line="240" w:lineRule="exact"/>
              <w:rPr>
                <w:rFonts w:ascii="宋体" w:eastAsia="宋体" w:hAnsi="宋体" w:cs="宋体"/>
                <w:color w:val="000000" w:themeColor="text1"/>
                <w:sz w:val="18"/>
                <w:szCs w:val="18"/>
              </w:rPr>
            </w:pPr>
          </w:p>
        </w:tc>
        <w:tc>
          <w:tcPr>
            <w:tcW w:w="170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纳入监测的农村低收入人口获得医疗救助人数</w:t>
            </w:r>
          </w:p>
        </w:tc>
        <w:tc>
          <w:tcPr>
            <w:tcW w:w="1590" w:type="dxa"/>
            <w:tcBorders>
              <w:top w:val="single" w:sz="4" w:space="0" w:color="auto"/>
            </w:tcBorders>
            <w:vAlign w:val="center"/>
          </w:tcPr>
          <w:p w:rsidR="00EF5A1A" w:rsidRDefault="006808F9">
            <w:pPr>
              <w:adjustRightInd w:val="0"/>
              <w:snapToGrid w:val="0"/>
              <w:jc w:val="left"/>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对符合条件的农村低收入人口全覆盖</w:t>
            </w:r>
          </w:p>
        </w:tc>
        <w:tc>
          <w:tcPr>
            <w:tcW w:w="1345" w:type="dxa"/>
            <w:tcBorders>
              <w:top w:val="single" w:sz="4" w:space="0" w:color="auto"/>
            </w:tcBorders>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15149</w:t>
            </w:r>
          </w:p>
        </w:tc>
        <w:tc>
          <w:tcPr>
            <w:tcW w:w="135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15760</w:t>
            </w:r>
          </w:p>
        </w:tc>
        <w:tc>
          <w:tcPr>
            <w:tcW w:w="316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达到标准值</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50%</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标准值）</w:t>
            </w:r>
            <w:r>
              <w:rPr>
                <w:rFonts w:ascii="宋体" w:eastAsia="宋体" w:hAnsi="宋体" w:cs="宋体" w:hint="eastAsia"/>
                <w:color w:val="000000" w:themeColor="text1"/>
                <w:sz w:val="18"/>
                <w:szCs w:val="18"/>
              </w:rPr>
              <w:t>*4</w:t>
            </w:r>
          </w:p>
        </w:tc>
        <w:tc>
          <w:tcPr>
            <w:tcW w:w="54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本年度</w:t>
            </w:r>
            <w:r>
              <w:rPr>
                <w:rFonts w:ascii="宋体" w:eastAsia="宋体" w:hAnsi="宋体" w:cs="宋体" w:hint="eastAsia"/>
                <w:color w:val="000000" w:themeColor="text1"/>
                <w:sz w:val="18"/>
                <w:szCs w:val="18"/>
              </w:rPr>
              <w:t>纳入监测的农村低收入人口获得医疗救助人数</w:t>
            </w:r>
          </w:p>
        </w:tc>
      </w:tr>
      <w:tr w:rsidR="00EF5A1A">
        <w:trPr>
          <w:trHeight w:val="1262"/>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tcBorders>
              <w:top w:val="single" w:sz="4" w:space="0" w:color="auto"/>
            </w:tcBorders>
            <w:vAlign w:val="center"/>
          </w:tcPr>
          <w:p w:rsidR="00EF5A1A" w:rsidRDefault="00EF5A1A">
            <w:pPr>
              <w:spacing w:line="240" w:lineRule="exact"/>
              <w:rPr>
                <w:rFonts w:ascii="宋体" w:eastAsia="宋体" w:hAnsi="宋体" w:cs="宋体"/>
                <w:color w:val="000000" w:themeColor="text1"/>
                <w:sz w:val="18"/>
                <w:szCs w:val="18"/>
              </w:rPr>
            </w:pPr>
          </w:p>
        </w:tc>
        <w:tc>
          <w:tcPr>
            <w:tcW w:w="170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基金累计结余占筹集基金总额的比重</w:t>
            </w:r>
          </w:p>
        </w:tc>
        <w:tc>
          <w:tcPr>
            <w:tcW w:w="159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15%</w:t>
            </w:r>
          </w:p>
        </w:tc>
        <w:tc>
          <w:tcPr>
            <w:tcW w:w="1345" w:type="dxa"/>
            <w:tcBorders>
              <w:top w:val="single" w:sz="4" w:space="0" w:color="auto"/>
            </w:tcBorders>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0</w:t>
            </w:r>
          </w:p>
        </w:tc>
        <w:tc>
          <w:tcPr>
            <w:tcW w:w="135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0</w:t>
            </w:r>
          </w:p>
        </w:tc>
        <w:tc>
          <w:tcPr>
            <w:tcW w:w="3165"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15%</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 xml:space="preserve">:16%  </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:&gt;16%</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合格之下</w:t>
            </w:r>
            <w:r>
              <w:rPr>
                <w:rFonts w:ascii="宋体" w:eastAsia="宋体" w:hAnsi="宋体" w:cs="宋体" w:hint="eastAsia"/>
                <w:color w:val="000000" w:themeColor="text1"/>
                <w:sz w:val="18"/>
                <w:szCs w:val="18"/>
              </w:rPr>
              <w:t xml:space="preserve"> 60+40*(16%-</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)/1%</w:t>
            </w:r>
          </w:p>
        </w:tc>
        <w:tc>
          <w:tcPr>
            <w:tcW w:w="540" w:type="dxa"/>
            <w:tcBorders>
              <w:top w:val="single" w:sz="4" w:space="0" w:color="auto"/>
            </w:tcBorders>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tcBorders>
              <w:top w:val="single" w:sz="4" w:space="0" w:color="auto"/>
            </w:tcBorders>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确保基金均衡合理使用</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反映救助对象受益程度情况</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根据《城乡医疗救助基金管理办法》，基金累计结余一般应不超过当年筹集基金总数的</w:t>
            </w:r>
            <w:r>
              <w:rPr>
                <w:rFonts w:ascii="宋体" w:eastAsia="宋体" w:hAnsi="宋体" w:cs="宋体" w:hint="eastAsia"/>
                <w:color w:val="000000" w:themeColor="text1"/>
                <w:sz w:val="18"/>
                <w:szCs w:val="18"/>
              </w:rPr>
              <w:t>15%</w:t>
            </w:r>
          </w:p>
        </w:tc>
      </w:tr>
      <w:tr w:rsidR="00EF5A1A">
        <w:trPr>
          <w:trHeight w:val="1375"/>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质量指标</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重点救助对象政策范围内住院自付费用年度限额内救助比率</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70%</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78</w:t>
            </w:r>
            <w:r>
              <w:rPr>
                <w:rFonts w:asciiTheme="majorEastAsia" w:eastAsiaTheme="majorEastAsia" w:hAnsiTheme="majorEastAsia" w:hint="eastAsia"/>
                <w:sz w:val="18"/>
                <w:szCs w:val="18"/>
              </w:rPr>
              <w:t>%</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76</w:t>
            </w:r>
            <w:r>
              <w:rPr>
                <w:rFonts w:asciiTheme="majorEastAsia" w:eastAsiaTheme="majorEastAsia" w:hAnsiTheme="majorEastAsia" w:hint="eastAsia"/>
                <w:sz w:val="18"/>
                <w:szCs w:val="18"/>
              </w:rPr>
              <w:t>%</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70%</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其他</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3</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70%-</w:t>
            </w:r>
            <w:r>
              <w:rPr>
                <w:rFonts w:ascii="宋体" w:eastAsia="宋体" w:hAnsi="宋体" w:cs="宋体" w:hint="eastAsia"/>
                <w:color w:val="000000" w:themeColor="text1"/>
                <w:sz w:val="18"/>
                <w:szCs w:val="18"/>
              </w:rPr>
              <w:t>实际值）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3</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w:t>
            </w:r>
            <w:r>
              <w:rPr>
                <w:rFonts w:ascii="宋体" w:eastAsia="宋体" w:hAnsi="宋体" w:cs="宋体" w:hint="eastAsia"/>
                <w:color w:val="000000" w:themeColor="text1"/>
                <w:sz w:val="18"/>
                <w:szCs w:val="18"/>
              </w:rPr>
              <w:t>国务院办公厅关于健全重特大疾病医疗保险和救助制度的意见</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对低保对象、特困人员符合规定的医疗费用可按不低于</w:t>
            </w:r>
            <w:r>
              <w:rPr>
                <w:rFonts w:ascii="宋体" w:eastAsia="宋体" w:hAnsi="宋体" w:cs="宋体" w:hint="eastAsia"/>
                <w:color w:val="000000" w:themeColor="text1"/>
                <w:sz w:val="18"/>
                <w:szCs w:val="18"/>
              </w:rPr>
              <w:t>70%</w:t>
            </w:r>
            <w:r>
              <w:rPr>
                <w:rFonts w:ascii="宋体" w:eastAsia="宋体" w:hAnsi="宋体" w:cs="宋体" w:hint="eastAsia"/>
                <w:color w:val="000000" w:themeColor="text1"/>
                <w:sz w:val="18"/>
                <w:szCs w:val="18"/>
              </w:rPr>
              <w:t>的比例救助</w:t>
            </w:r>
          </w:p>
        </w:tc>
      </w:tr>
      <w:tr w:rsidR="00EF5A1A">
        <w:trPr>
          <w:trHeight w:val="88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农村易返贫致贫人口医保帮扶措施</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不断完善</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已制定相关政策并有效实施</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已制定相关政策并有效实施</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①</w:t>
            </w:r>
            <w:r>
              <w:rPr>
                <w:rFonts w:ascii="宋体" w:eastAsia="宋体" w:hAnsi="宋体" w:cs="宋体" w:hint="eastAsia"/>
                <w:color w:val="000000" w:themeColor="text1"/>
                <w:sz w:val="18"/>
                <w:szCs w:val="18"/>
              </w:rPr>
              <w:t>制定实施了</w:t>
            </w:r>
            <w:r>
              <w:rPr>
                <w:rFonts w:ascii="宋体" w:eastAsia="宋体" w:hAnsi="宋体" w:cs="宋体" w:hint="eastAsia"/>
                <w:color w:val="000000" w:themeColor="text1"/>
                <w:sz w:val="18"/>
                <w:szCs w:val="18"/>
              </w:rPr>
              <w:t>农村易返贫致贫人口医保帮扶措施</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②实现巩固拓展医疗保障脱贫攻坚成果同乡村振兴有效衔接</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4</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w:t>
            </w:r>
            <w:r>
              <w:rPr>
                <w:rFonts w:ascii="宋体" w:eastAsia="宋体" w:hAnsi="宋体" w:cs="宋体" w:hint="eastAsia"/>
                <w:color w:val="000000" w:themeColor="text1"/>
                <w:sz w:val="18"/>
                <w:szCs w:val="18"/>
              </w:rPr>
              <w:t>国务院办公厅关于健全重特大疾病医疗保险和救助制度的意见</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完善农村易返贫致贫人口医保帮扶措施，推动实现巩固拓展医疗保障脱贫攻坚成果同乡村振兴有效衔接</w:t>
            </w:r>
          </w:p>
        </w:tc>
      </w:tr>
      <w:tr w:rsidR="00EF5A1A">
        <w:trPr>
          <w:trHeight w:val="164"/>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高额医疗费用支出预警监测</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建立健全</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已制定相关制度并有效执行</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已制定相关制度并有效执行</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实施医疗救助对象信息动态管理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健全因病致贫和因病返贫双预警机制</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2</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EF5A1A">
            <w:pPr>
              <w:adjustRightInd w:val="0"/>
              <w:snapToGrid w:val="0"/>
              <w:rPr>
                <w:rFonts w:ascii="宋体" w:eastAsia="宋体" w:hAnsi="宋体" w:cs="宋体"/>
                <w:color w:val="000000" w:themeColor="text1"/>
                <w:sz w:val="18"/>
                <w:szCs w:val="18"/>
              </w:rPr>
            </w:pP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w:t>
            </w:r>
            <w:r>
              <w:rPr>
                <w:rFonts w:ascii="宋体" w:eastAsia="宋体" w:hAnsi="宋体" w:cs="宋体" w:hint="eastAsia"/>
                <w:color w:val="000000" w:themeColor="text1"/>
                <w:sz w:val="18"/>
                <w:szCs w:val="18"/>
              </w:rPr>
              <w:t>国务院办公厅关于健全重特大疾病医疗保险和救助制度的意见</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实施医疗救助对象信息动态管理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分类健全因病致贫和因病返贫双预警机制</w:t>
            </w:r>
          </w:p>
        </w:tc>
      </w:tr>
      <w:tr w:rsidR="00EF5A1A">
        <w:trPr>
          <w:trHeight w:val="9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shd w:val="clear" w:color="auto" w:fill="FFFFFF"/>
              </w:rPr>
            </w:pPr>
            <w:r>
              <w:rPr>
                <w:rFonts w:ascii="宋体" w:eastAsia="宋体" w:hAnsi="宋体" w:cs="宋体" w:hint="eastAsia"/>
                <w:color w:val="000000" w:themeColor="text1"/>
                <w:sz w:val="18"/>
                <w:szCs w:val="18"/>
              </w:rPr>
              <w:t>推进</w:t>
            </w:r>
            <w:r>
              <w:rPr>
                <w:rFonts w:ascii="宋体" w:eastAsia="宋体" w:hAnsi="宋体" w:cs="宋体" w:hint="eastAsia"/>
                <w:color w:val="000000" w:themeColor="text1"/>
                <w:sz w:val="18"/>
                <w:szCs w:val="18"/>
              </w:rPr>
              <w:t>一体化经办</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扎实有效</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w:t>
            </w:r>
            <w:r>
              <w:rPr>
                <w:rFonts w:ascii="宋体" w:eastAsia="宋体" w:hAnsi="宋体" w:cs="宋体" w:hint="eastAsia"/>
                <w:color w:val="000000" w:themeColor="text1"/>
                <w:sz w:val="18"/>
                <w:szCs w:val="18"/>
              </w:rPr>
              <w:t>出台医疗救助经办管理服务规程</w:t>
            </w:r>
            <w:r>
              <w:rPr>
                <w:rFonts w:ascii="宋体" w:eastAsia="宋体" w:hAnsi="宋体" w:cs="宋体" w:hint="eastAsia"/>
                <w:color w:val="000000" w:themeColor="text1"/>
                <w:sz w:val="18"/>
                <w:szCs w:val="18"/>
              </w:rPr>
              <w:t>并有效执行</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已</w:t>
            </w:r>
            <w:r>
              <w:rPr>
                <w:rFonts w:ascii="宋体" w:eastAsia="宋体" w:hAnsi="宋体" w:cs="宋体" w:hint="eastAsia"/>
                <w:color w:val="000000" w:themeColor="text1"/>
                <w:sz w:val="18"/>
                <w:szCs w:val="18"/>
              </w:rPr>
              <w:t>出台医疗救助经办管理服务规程</w:t>
            </w:r>
            <w:r>
              <w:rPr>
                <w:rFonts w:ascii="宋体" w:eastAsia="宋体" w:hAnsi="宋体" w:cs="宋体" w:hint="eastAsia"/>
                <w:color w:val="000000" w:themeColor="text1"/>
                <w:sz w:val="18"/>
                <w:szCs w:val="18"/>
              </w:rPr>
              <w:t>并有效执行</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细化完善救助服务事项清单</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出台医疗救助经办管理服务规程</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根据《国务院办公厅关于健全重特大疾病医疗保险和救助制度的意见》</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细化完善救助服务事项清单，出台医疗救助经办管理服务规程，做好救助对象信息共享互认、资助参保、待遇给付等经办服务</w:t>
            </w:r>
          </w:p>
        </w:tc>
      </w:tr>
      <w:tr w:rsidR="00EF5A1A">
        <w:trPr>
          <w:trHeight w:val="435"/>
          <w:jc w:val="center"/>
        </w:trPr>
        <w:tc>
          <w:tcPr>
            <w:tcW w:w="958" w:type="dxa"/>
            <w:vMerge/>
            <w:vAlign w:val="center"/>
          </w:tcPr>
          <w:p w:rsidR="00EF5A1A" w:rsidRDefault="00EF5A1A">
            <w:pPr>
              <w:adjustRightInd w:val="0"/>
              <w:snapToGrid w:val="0"/>
              <w:rPr>
                <w:rFonts w:ascii="宋体" w:eastAsia="宋体" w:hAnsi="宋体" w:cs="宋体"/>
                <w:color w:val="000000" w:themeColor="text1"/>
                <w:sz w:val="18"/>
                <w:szCs w:val="18"/>
              </w:rPr>
            </w:pPr>
          </w:p>
        </w:tc>
        <w:tc>
          <w:tcPr>
            <w:tcW w:w="703" w:type="dxa"/>
            <w:vMerge/>
            <w:vAlign w:val="center"/>
          </w:tcPr>
          <w:p w:rsidR="00EF5A1A" w:rsidRDefault="00EF5A1A">
            <w:pPr>
              <w:adjustRightInd w:val="0"/>
              <w:snapToGrid w:val="0"/>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发展壮大慈善救助</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逐步拓展</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逐步拓展</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逐步拓展</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满分：已有本地慈善组织和其他社会组织设立大病救助项目</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零分：慈善救助尚未开展</w:t>
            </w:r>
          </w:p>
        </w:tc>
        <w:tc>
          <w:tcPr>
            <w:tcW w:w="54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根据《国务院办公厅关于健全重特大疾病医疗保险和救助制度的意见》</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细化完善救助服务事项清单，</w:t>
            </w:r>
            <w:r>
              <w:rPr>
                <w:rFonts w:ascii="宋体" w:eastAsia="宋体" w:hAnsi="宋体" w:cs="宋体" w:hint="eastAsia"/>
                <w:color w:val="000000" w:themeColor="text1"/>
                <w:sz w:val="18"/>
                <w:szCs w:val="18"/>
              </w:rPr>
              <w:t>鼓励慈善组织和其他社会组织设立大病救助项目，发挥补充救助作用</w:t>
            </w:r>
          </w:p>
        </w:tc>
      </w:tr>
      <w:tr w:rsidR="00EF5A1A">
        <w:trPr>
          <w:trHeight w:val="1080"/>
          <w:jc w:val="center"/>
        </w:trPr>
        <w:tc>
          <w:tcPr>
            <w:tcW w:w="958"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703" w:type="dxa"/>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时效指标</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市域内一站式即时结算覆盖地区</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不低于上年</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即时结报定点医疗机构全面实现一站式结算医疗救助</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即时结报定点医疗机构全面实现一站式结算医疗救助</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结算覆盖地区较往年增加</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较往年持平</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较往年减少</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参保人员可在就诊医院一站式结算</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出院时直接在医院的结算窗口办理完所有报销手续</w:t>
            </w:r>
          </w:p>
        </w:tc>
      </w:tr>
      <w:tr w:rsidR="00EF5A1A">
        <w:trPr>
          <w:trHeight w:val="960"/>
          <w:jc w:val="center"/>
        </w:trPr>
        <w:tc>
          <w:tcPr>
            <w:tcW w:w="958"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效益</w:t>
            </w:r>
            <w:r>
              <w:rPr>
                <w:rFonts w:ascii="宋体" w:eastAsia="宋体" w:hAnsi="宋体" w:cs="宋体" w:hint="eastAsia"/>
                <w:color w:val="000000" w:themeColor="text1"/>
                <w:sz w:val="18"/>
                <w:szCs w:val="18"/>
              </w:rPr>
              <w:br/>
            </w:r>
            <w:r>
              <w:rPr>
                <w:rFonts w:ascii="宋体" w:eastAsia="宋体" w:hAnsi="宋体" w:cs="宋体" w:hint="eastAsia"/>
                <w:color w:val="000000" w:themeColor="text1"/>
                <w:sz w:val="18"/>
                <w:szCs w:val="18"/>
              </w:rPr>
              <w:t>指标</w:t>
            </w:r>
          </w:p>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13</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社会效益</w:t>
            </w:r>
            <w:r>
              <w:rPr>
                <w:rFonts w:ascii="宋体" w:eastAsia="宋体" w:hAnsi="宋体" w:cs="宋体" w:hint="eastAsia"/>
                <w:color w:val="000000" w:themeColor="text1"/>
                <w:sz w:val="18"/>
                <w:szCs w:val="18"/>
              </w:rPr>
              <w:t>指标</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医疗救助对象覆盖范围</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稳步拓展</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救助对象标准明确</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救助对象标准明确</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低保边缘及因病致贫重病患者</w:t>
            </w:r>
            <w:r>
              <w:rPr>
                <w:rFonts w:ascii="宋体" w:eastAsia="宋体" w:hAnsi="宋体" w:cs="宋体" w:hint="eastAsia"/>
                <w:color w:val="000000" w:themeColor="text1"/>
                <w:sz w:val="18"/>
                <w:szCs w:val="18"/>
              </w:rPr>
              <w:t>标准明确</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仅明确低保、特困、</w:t>
            </w:r>
            <w:r>
              <w:rPr>
                <w:rFonts w:ascii="宋体" w:eastAsia="宋体" w:hAnsi="宋体" w:cs="宋体" w:hint="eastAsia"/>
                <w:color w:val="000000" w:themeColor="text1"/>
                <w:sz w:val="18"/>
                <w:szCs w:val="18"/>
              </w:rPr>
              <w:t>纳入相关部门检测范围的农村低收入人口</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在符合国家规定的基础上</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适度扩大覆盖范围</w:t>
            </w:r>
          </w:p>
        </w:tc>
      </w:tr>
      <w:tr w:rsidR="00EF5A1A">
        <w:trPr>
          <w:trHeight w:val="1119"/>
          <w:jc w:val="center"/>
        </w:trPr>
        <w:tc>
          <w:tcPr>
            <w:tcW w:w="958" w:type="dxa"/>
            <w:vMerge/>
            <w:vAlign w:val="center"/>
          </w:tcPr>
          <w:p w:rsidR="00EF5A1A" w:rsidRDefault="00EF5A1A">
            <w:pPr>
              <w:spacing w:line="240" w:lineRule="exact"/>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困难群众看病就医方便程度</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明显提高</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医疗救助一站式明显提高困难群众看病就医方便程度</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医疗救助一站式明显提高困难群众看病就医方便程度</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困难群众看病就医效率较上年提高</w:t>
            </w:r>
            <w:r>
              <w:rPr>
                <w:rFonts w:ascii="宋体" w:eastAsia="宋体" w:hAnsi="宋体" w:cs="宋体" w:hint="eastAsia"/>
                <w:color w:val="000000" w:themeColor="text1"/>
                <w:sz w:val="18"/>
                <w:szCs w:val="18"/>
              </w:rPr>
              <w:t>5%</w:t>
            </w:r>
            <w:r>
              <w:rPr>
                <w:rFonts w:ascii="宋体" w:eastAsia="宋体" w:hAnsi="宋体" w:cs="宋体" w:hint="eastAsia"/>
                <w:color w:val="000000" w:themeColor="text1"/>
                <w:sz w:val="18"/>
                <w:szCs w:val="18"/>
              </w:rPr>
              <w:t>及以上</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困难群众看病就医效率较上年提高</w:t>
            </w:r>
            <w:r>
              <w:rPr>
                <w:rFonts w:ascii="宋体" w:eastAsia="宋体" w:hAnsi="宋体" w:cs="宋体" w:hint="eastAsia"/>
                <w:color w:val="000000" w:themeColor="text1"/>
                <w:sz w:val="18"/>
                <w:szCs w:val="18"/>
              </w:rPr>
              <w:t>5%</w:t>
            </w:r>
            <w:r>
              <w:rPr>
                <w:rFonts w:ascii="宋体" w:eastAsia="宋体" w:hAnsi="宋体" w:cs="宋体" w:hint="eastAsia"/>
                <w:color w:val="000000" w:themeColor="text1"/>
                <w:sz w:val="18"/>
                <w:szCs w:val="18"/>
              </w:rPr>
              <w:t>以内</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困难群众看病就医效率有所下降</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医疗救助一站式、定点救助机构等措施提升困难群众看病就医方便程度</w:t>
            </w:r>
          </w:p>
        </w:tc>
      </w:tr>
      <w:tr w:rsidR="00EF5A1A">
        <w:trPr>
          <w:trHeight w:val="1320"/>
          <w:jc w:val="center"/>
        </w:trPr>
        <w:tc>
          <w:tcPr>
            <w:tcW w:w="958" w:type="dxa"/>
            <w:vMerge/>
            <w:vAlign w:val="center"/>
          </w:tcPr>
          <w:p w:rsidR="00EF5A1A" w:rsidRDefault="00EF5A1A">
            <w:pPr>
              <w:spacing w:line="240" w:lineRule="exact"/>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困难群众就医负担减轻程度</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有效缓解</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资助困难群众参保全覆盖</w:t>
            </w:r>
            <w:r>
              <w:rPr>
                <w:rFonts w:asciiTheme="majorEastAsia" w:eastAsiaTheme="majorEastAsia" w:hAnsiTheme="majorEastAsia" w:hint="eastAsia"/>
                <w:sz w:val="18"/>
                <w:szCs w:val="18"/>
              </w:rPr>
              <w:t>及</w:t>
            </w:r>
            <w:r>
              <w:rPr>
                <w:rFonts w:asciiTheme="majorEastAsia" w:eastAsiaTheme="majorEastAsia" w:hAnsiTheme="majorEastAsia" w:hint="eastAsia"/>
                <w:sz w:val="18"/>
                <w:szCs w:val="18"/>
              </w:rPr>
              <w:t>重点救助对象政策范围内住院自付费用年度限额内救助比率达</w:t>
            </w:r>
            <w:r>
              <w:rPr>
                <w:rFonts w:asciiTheme="majorEastAsia" w:eastAsiaTheme="majorEastAsia" w:hAnsiTheme="majorEastAsia" w:hint="eastAsia"/>
                <w:sz w:val="18"/>
                <w:szCs w:val="18"/>
              </w:rPr>
              <w:t>78</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，有效缓解困难群众就医负担</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资助困难群众参保全覆盖</w:t>
            </w:r>
            <w:r>
              <w:rPr>
                <w:rFonts w:asciiTheme="majorEastAsia" w:eastAsiaTheme="majorEastAsia" w:hAnsiTheme="majorEastAsia" w:hint="eastAsia"/>
                <w:sz w:val="18"/>
                <w:szCs w:val="18"/>
              </w:rPr>
              <w:t>及</w:t>
            </w:r>
            <w:r>
              <w:rPr>
                <w:rFonts w:asciiTheme="majorEastAsia" w:eastAsiaTheme="majorEastAsia" w:hAnsiTheme="majorEastAsia" w:hint="eastAsia"/>
                <w:sz w:val="18"/>
                <w:szCs w:val="18"/>
              </w:rPr>
              <w:t>重点救助对象政策范围内住院自付费用年度限额内救助比率达</w:t>
            </w:r>
            <w:r>
              <w:rPr>
                <w:rFonts w:asciiTheme="majorEastAsia" w:eastAsiaTheme="majorEastAsia" w:hAnsiTheme="majorEastAsia" w:hint="eastAsia"/>
                <w:sz w:val="18"/>
                <w:szCs w:val="18"/>
              </w:rPr>
              <w:t>76</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，有效缓解困难群众就医负担</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困难群众就医负担减轻程度有效减轻，未发生冲击社会道德底线事件</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困难群众就医负担减轻程度有缓解</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发生冲击社会道德底线的事件</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3</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救助对象参保缴费的压力和政策范围内个人费用负担明显减轻</w:t>
            </w:r>
          </w:p>
        </w:tc>
      </w:tr>
      <w:tr w:rsidR="00EF5A1A">
        <w:trPr>
          <w:trHeight w:val="939"/>
          <w:jc w:val="center"/>
        </w:trPr>
        <w:tc>
          <w:tcPr>
            <w:tcW w:w="958" w:type="dxa"/>
            <w:vMerge/>
            <w:vAlign w:val="center"/>
          </w:tcPr>
          <w:p w:rsidR="00EF5A1A" w:rsidRDefault="00EF5A1A">
            <w:pPr>
              <w:spacing w:line="240" w:lineRule="exact"/>
              <w:rPr>
                <w:rFonts w:ascii="宋体" w:eastAsia="宋体" w:hAnsi="宋体" w:cs="宋体"/>
                <w:color w:val="000000" w:themeColor="text1"/>
                <w:sz w:val="18"/>
                <w:szCs w:val="18"/>
              </w:rPr>
            </w:pPr>
          </w:p>
        </w:tc>
        <w:tc>
          <w:tcPr>
            <w:tcW w:w="703" w:type="dxa"/>
            <w:vMerge w:val="restart"/>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可持续</w:t>
            </w:r>
            <w:r>
              <w:rPr>
                <w:rFonts w:ascii="宋体" w:eastAsia="宋体" w:hAnsi="宋体" w:cs="宋体" w:hint="eastAsia"/>
                <w:color w:val="000000" w:themeColor="text1"/>
                <w:sz w:val="18"/>
                <w:szCs w:val="18"/>
              </w:rPr>
              <w:t>影响指标</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对健全社会救助体系的影响</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成效明显</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与</w:t>
            </w:r>
            <w:r>
              <w:rPr>
                <w:rFonts w:asciiTheme="majorEastAsia" w:eastAsiaTheme="majorEastAsia" w:hAnsiTheme="majorEastAsia" w:hint="eastAsia"/>
                <w:sz w:val="18"/>
                <w:szCs w:val="18"/>
              </w:rPr>
              <w:t>临时救助</w:t>
            </w:r>
            <w:r>
              <w:rPr>
                <w:rFonts w:asciiTheme="majorEastAsia" w:eastAsiaTheme="majorEastAsia" w:hAnsiTheme="majorEastAsia" w:hint="eastAsia"/>
                <w:sz w:val="18"/>
                <w:szCs w:val="18"/>
              </w:rPr>
              <w:t>及</w:t>
            </w:r>
            <w:r>
              <w:rPr>
                <w:rFonts w:asciiTheme="majorEastAsia" w:eastAsiaTheme="majorEastAsia" w:hAnsiTheme="majorEastAsia" w:hint="eastAsia"/>
                <w:sz w:val="18"/>
                <w:szCs w:val="18"/>
              </w:rPr>
              <w:t>困难职工帮扶等多种救助制度相互衔接，</w:t>
            </w:r>
            <w:r>
              <w:rPr>
                <w:rFonts w:asciiTheme="majorEastAsia" w:eastAsiaTheme="majorEastAsia" w:hAnsiTheme="majorEastAsia" w:hint="eastAsia"/>
                <w:sz w:val="18"/>
                <w:szCs w:val="18"/>
              </w:rPr>
              <w:t>明显</w:t>
            </w:r>
            <w:r>
              <w:rPr>
                <w:rFonts w:asciiTheme="majorEastAsia" w:eastAsiaTheme="majorEastAsia" w:hAnsiTheme="majorEastAsia" w:hint="eastAsia"/>
                <w:sz w:val="18"/>
                <w:szCs w:val="18"/>
              </w:rPr>
              <w:t>提高了社会救助水平</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与</w:t>
            </w:r>
            <w:r>
              <w:rPr>
                <w:rFonts w:asciiTheme="majorEastAsia" w:eastAsiaTheme="majorEastAsia" w:hAnsiTheme="majorEastAsia" w:hint="eastAsia"/>
                <w:sz w:val="18"/>
                <w:szCs w:val="18"/>
              </w:rPr>
              <w:t>临时救助</w:t>
            </w:r>
            <w:r>
              <w:rPr>
                <w:rFonts w:asciiTheme="majorEastAsia" w:eastAsiaTheme="majorEastAsia" w:hAnsiTheme="majorEastAsia" w:hint="eastAsia"/>
                <w:sz w:val="18"/>
                <w:szCs w:val="18"/>
              </w:rPr>
              <w:t>及</w:t>
            </w:r>
            <w:r>
              <w:rPr>
                <w:rFonts w:asciiTheme="majorEastAsia" w:eastAsiaTheme="majorEastAsia" w:hAnsiTheme="majorEastAsia" w:hint="eastAsia"/>
                <w:sz w:val="18"/>
                <w:szCs w:val="18"/>
              </w:rPr>
              <w:t>困难职工帮扶等多种救助制度相互衔接，</w:t>
            </w:r>
            <w:r>
              <w:rPr>
                <w:rFonts w:asciiTheme="majorEastAsia" w:eastAsiaTheme="majorEastAsia" w:hAnsiTheme="majorEastAsia" w:hint="eastAsia"/>
                <w:sz w:val="18"/>
                <w:szCs w:val="18"/>
              </w:rPr>
              <w:t>明显</w:t>
            </w:r>
            <w:r>
              <w:rPr>
                <w:rFonts w:asciiTheme="majorEastAsia" w:eastAsiaTheme="majorEastAsia" w:hAnsiTheme="majorEastAsia" w:hint="eastAsia"/>
                <w:sz w:val="18"/>
                <w:szCs w:val="18"/>
              </w:rPr>
              <w:t>提高了社会救助水平</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成效明显</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及格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有成效但不明显</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没有成效</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医疗救助与其他社会救助制度的衔接</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对健全社会救助体系</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提高社会救助水平的影响</w:t>
            </w:r>
          </w:p>
        </w:tc>
      </w:tr>
      <w:tr w:rsidR="00EF5A1A">
        <w:trPr>
          <w:trHeight w:val="960"/>
          <w:jc w:val="center"/>
        </w:trPr>
        <w:tc>
          <w:tcPr>
            <w:tcW w:w="958" w:type="dxa"/>
            <w:vMerge/>
            <w:vAlign w:val="center"/>
          </w:tcPr>
          <w:p w:rsidR="00EF5A1A" w:rsidRDefault="00EF5A1A">
            <w:pPr>
              <w:spacing w:line="240" w:lineRule="exact"/>
              <w:rPr>
                <w:rFonts w:ascii="宋体" w:eastAsia="宋体" w:hAnsi="宋体" w:cs="宋体"/>
                <w:color w:val="000000" w:themeColor="text1"/>
                <w:sz w:val="18"/>
                <w:szCs w:val="18"/>
              </w:rPr>
            </w:pPr>
          </w:p>
        </w:tc>
        <w:tc>
          <w:tcPr>
            <w:tcW w:w="703" w:type="dxa"/>
            <w:vMerge/>
            <w:vAlign w:val="center"/>
          </w:tcPr>
          <w:p w:rsidR="00EF5A1A" w:rsidRDefault="00EF5A1A">
            <w:pPr>
              <w:spacing w:line="240" w:lineRule="exact"/>
              <w:jc w:val="center"/>
              <w:rPr>
                <w:rFonts w:ascii="宋体" w:eastAsia="宋体" w:hAnsi="宋体" w:cs="宋体"/>
                <w:color w:val="000000" w:themeColor="text1"/>
                <w:sz w:val="18"/>
                <w:szCs w:val="18"/>
              </w:rPr>
            </w:pP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对健全医疗保障体系的作用</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成效明显</w:t>
            </w:r>
          </w:p>
        </w:tc>
        <w:tc>
          <w:tcPr>
            <w:tcW w:w="1345" w:type="dxa"/>
            <w:shd w:val="clear" w:color="auto" w:fill="auto"/>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t>基本医保</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大病保险</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医疗救助</w:t>
            </w:r>
            <w:r>
              <w:rPr>
                <w:rFonts w:asciiTheme="majorEastAsia" w:eastAsiaTheme="majorEastAsia" w:hAnsiTheme="majorEastAsia" w:hint="eastAsia"/>
                <w:sz w:val="18"/>
                <w:szCs w:val="18"/>
              </w:rPr>
              <w:t>三重</w:t>
            </w:r>
            <w:r>
              <w:rPr>
                <w:rFonts w:asciiTheme="majorEastAsia" w:eastAsiaTheme="majorEastAsia" w:hAnsiTheme="majorEastAsia" w:hint="eastAsia"/>
                <w:sz w:val="18"/>
                <w:szCs w:val="18"/>
              </w:rPr>
              <w:t>制度</w:t>
            </w:r>
            <w:r>
              <w:rPr>
                <w:rFonts w:asciiTheme="majorEastAsia" w:eastAsiaTheme="majorEastAsia" w:hAnsiTheme="majorEastAsia" w:hint="eastAsia"/>
                <w:sz w:val="18"/>
                <w:szCs w:val="18"/>
              </w:rPr>
              <w:t>保障</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明显提</w:t>
            </w:r>
            <w:r>
              <w:rPr>
                <w:rFonts w:asciiTheme="majorEastAsia" w:eastAsiaTheme="majorEastAsia" w:hAnsiTheme="majorEastAsia" w:hint="eastAsia"/>
                <w:sz w:val="18"/>
                <w:szCs w:val="18"/>
              </w:rPr>
              <w:lastRenderedPageBreak/>
              <w:t>高了医疗保障水平</w:t>
            </w:r>
          </w:p>
        </w:tc>
        <w:tc>
          <w:tcPr>
            <w:tcW w:w="1350" w:type="dxa"/>
            <w:vAlign w:val="center"/>
          </w:tcPr>
          <w:p w:rsidR="00EF5A1A" w:rsidRDefault="006808F9">
            <w:pPr>
              <w:adjustRightInd w:val="0"/>
              <w:snapToGrid w:val="0"/>
              <w:rPr>
                <w:rFonts w:ascii="宋体" w:eastAsia="宋体" w:hAnsi="宋体" w:cs="宋体"/>
                <w:color w:val="000000" w:themeColor="text1"/>
                <w:sz w:val="18"/>
                <w:szCs w:val="18"/>
              </w:rPr>
            </w:pPr>
            <w:r>
              <w:rPr>
                <w:rFonts w:asciiTheme="majorEastAsia" w:eastAsiaTheme="majorEastAsia" w:hAnsiTheme="majorEastAsia" w:hint="eastAsia"/>
                <w:sz w:val="18"/>
                <w:szCs w:val="18"/>
              </w:rPr>
              <w:lastRenderedPageBreak/>
              <w:t>基本医保</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大病保险</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医疗救助</w:t>
            </w:r>
            <w:r>
              <w:rPr>
                <w:rFonts w:asciiTheme="majorEastAsia" w:eastAsiaTheme="majorEastAsia" w:hAnsiTheme="majorEastAsia" w:hint="eastAsia"/>
                <w:sz w:val="18"/>
                <w:szCs w:val="18"/>
              </w:rPr>
              <w:t>三重</w:t>
            </w:r>
            <w:r>
              <w:rPr>
                <w:rFonts w:asciiTheme="majorEastAsia" w:eastAsiaTheme="majorEastAsia" w:hAnsiTheme="majorEastAsia" w:hint="eastAsia"/>
                <w:sz w:val="18"/>
                <w:szCs w:val="18"/>
              </w:rPr>
              <w:t>制度</w:t>
            </w:r>
            <w:r>
              <w:rPr>
                <w:rFonts w:asciiTheme="majorEastAsia" w:eastAsiaTheme="majorEastAsia" w:hAnsiTheme="majorEastAsia" w:hint="eastAsia"/>
                <w:sz w:val="18"/>
                <w:szCs w:val="18"/>
              </w:rPr>
              <w:t>保障</w:t>
            </w: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明显提</w:t>
            </w:r>
            <w:r>
              <w:rPr>
                <w:rFonts w:asciiTheme="majorEastAsia" w:eastAsiaTheme="majorEastAsia" w:hAnsiTheme="majorEastAsia" w:hint="eastAsia"/>
                <w:sz w:val="18"/>
                <w:szCs w:val="18"/>
              </w:rPr>
              <w:lastRenderedPageBreak/>
              <w:t>高了医疗保障水平</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满分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成效明显</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有成效但不明显</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没有成效</w:t>
            </w:r>
          </w:p>
        </w:tc>
        <w:tc>
          <w:tcPr>
            <w:tcW w:w="54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2</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医疗救助对健全医疗保障体系</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提高医疗保障水平的作用</w:t>
            </w:r>
          </w:p>
        </w:tc>
      </w:tr>
      <w:tr w:rsidR="00EF5A1A">
        <w:trPr>
          <w:trHeight w:val="1229"/>
          <w:jc w:val="center"/>
        </w:trPr>
        <w:tc>
          <w:tcPr>
            <w:tcW w:w="958" w:type="dxa"/>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lastRenderedPageBreak/>
              <w:t>满意度指标（</w:t>
            </w:r>
            <w:r>
              <w:rPr>
                <w:rFonts w:ascii="宋体" w:eastAsia="宋体" w:hAnsi="宋体" w:cs="宋体" w:hint="eastAsia"/>
                <w:color w:val="000000" w:themeColor="text1"/>
                <w:sz w:val="18"/>
                <w:szCs w:val="18"/>
              </w:rPr>
              <w:t>10</w:t>
            </w:r>
            <w:r>
              <w:rPr>
                <w:rFonts w:ascii="宋体" w:eastAsia="宋体" w:hAnsi="宋体" w:cs="宋体" w:hint="eastAsia"/>
                <w:color w:val="000000" w:themeColor="text1"/>
                <w:sz w:val="18"/>
                <w:szCs w:val="18"/>
              </w:rPr>
              <w:t>分）</w:t>
            </w:r>
          </w:p>
        </w:tc>
        <w:tc>
          <w:tcPr>
            <w:tcW w:w="703" w:type="dxa"/>
            <w:vAlign w:val="center"/>
          </w:tcPr>
          <w:p w:rsidR="00EF5A1A" w:rsidRDefault="006808F9">
            <w:pPr>
              <w:spacing w:line="24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服务对象满意度</w:t>
            </w:r>
          </w:p>
        </w:tc>
        <w:tc>
          <w:tcPr>
            <w:tcW w:w="170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救助对象对救助工作满意度</w:t>
            </w:r>
          </w:p>
        </w:tc>
        <w:tc>
          <w:tcPr>
            <w:tcW w:w="159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85%</w:t>
            </w:r>
          </w:p>
        </w:tc>
        <w:tc>
          <w:tcPr>
            <w:tcW w:w="1345" w:type="dxa"/>
            <w:shd w:val="clear" w:color="auto" w:fill="auto"/>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90%</w:t>
            </w:r>
          </w:p>
        </w:tc>
        <w:tc>
          <w:tcPr>
            <w:tcW w:w="1350" w:type="dxa"/>
            <w:vAlign w:val="center"/>
          </w:tcPr>
          <w:p w:rsidR="00EF5A1A" w:rsidRDefault="006808F9">
            <w:pPr>
              <w:adjustRightInd w:val="0"/>
              <w:snapToGrid w:val="0"/>
              <w:jc w:val="center"/>
              <w:rPr>
                <w:rFonts w:ascii="宋体" w:eastAsia="宋体" w:hAnsi="宋体" w:cs="宋体"/>
                <w:color w:val="000000" w:themeColor="text1"/>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90%</w:t>
            </w:r>
          </w:p>
        </w:tc>
        <w:tc>
          <w:tcPr>
            <w:tcW w:w="3165"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满分</w:t>
            </w:r>
            <w:r>
              <w:rPr>
                <w:rFonts w:ascii="宋体" w:eastAsia="宋体" w:hAnsi="宋体" w:cs="宋体" w:hint="eastAsia"/>
                <w:color w:val="000000" w:themeColor="text1"/>
                <w:sz w:val="18"/>
                <w:szCs w:val="18"/>
              </w:rPr>
              <w:t>:&gt;85%</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合格（</w:t>
            </w:r>
            <w:r>
              <w:rPr>
                <w:rFonts w:ascii="宋体" w:eastAsia="宋体" w:hAnsi="宋体" w:cs="宋体" w:hint="eastAsia"/>
                <w:color w:val="000000" w:themeColor="text1"/>
                <w:sz w:val="18"/>
                <w:szCs w:val="18"/>
              </w:rPr>
              <w:t>6</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:85%</w:t>
            </w:r>
          </w:p>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零分</w:t>
            </w:r>
            <w:r>
              <w:rPr>
                <w:rFonts w:ascii="宋体" w:eastAsia="宋体" w:hAnsi="宋体" w:cs="宋体" w:hint="eastAsia"/>
                <w:color w:val="000000" w:themeColor="text1"/>
                <w:sz w:val="18"/>
                <w:szCs w:val="18"/>
              </w:rPr>
              <w:t>:&lt;85%</w:t>
            </w:r>
          </w:p>
        </w:tc>
        <w:tc>
          <w:tcPr>
            <w:tcW w:w="54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w:t>
            </w:r>
          </w:p>
        </w:tc>
        <w:tc>
          <w:tcPr>
            <w:tcW w:w="2579"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用以反映救助对象对医疗救助工作的满意程度</w:t>
            </w:r>
          </w:p>
        </w:tc>
      </w:tr>
      <w:tr w:rsidR="00EF5A1A">
        <w:trPr>
          <w:trHeight w:val="582"/>
          <w:jc w:val="center"/>
        </w:trPr>
        <w:tc>
          <w:tcPr>
            <w:tcW w:w="10816" w:type="dxa"/>
            <w:gridSpan w:val="7"/>
            <w:vAlign w:val="center"/>
          </w:tcPr>
          <w:p w:rsidR="00EF5A1A" w:rsidRDefault="006808F9">
            <w:pPr>
              <w:adjustRightInd w:val="0"/>
              <w:snapToGrid w:val="0"/>
              <w:ind w:firstLineChars="4100" w:firstLine="738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合计</w:t>
            </w:r>
          </w:p>
        </w:tc>
        <w:tc>
          <w:tcPr>
            <w:tcW w:w="540" w:type="dxa"/>
            <w:vAlign w:val="center"/>
          </w:tcPr>
          <w:p w:rsidR="00EF5A1A" w:rsidRDefault="006808F9">
            <w:pPr>
              <w:adjustRightInd w:val="0"/>
              <w:snapToGrid w:val="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100</w:t>
            </w:r>
          </w:p>
        </w:tc>
        <w:tc>
          <w:tcPr>
            <w:tcW w:w="2579" w:type="dxa"/>
            <w:vAlign w:val="center"/>
          </w:tcPr>
          <w:p w:rsidR="00EF5A1A" w:rsidRDefault="00EF5A1A">
            <w:pPr>
              <w:adjustRightInd w:val="0"/>
              <w:snapToGrid w:val="0"/>
              <w:rPr>
                <w:rFonts w:ascii="宋体" w:eastAsia="宋体" w:hAnsi="宋体" w:cs="宋体"/>
                <w:color w:val="000000" w:themeColor="text1"/>
                <w:sz w:val="18"/>
                <w:szCs w:val="18"/>
              </w:rPr>
            </w:pPr>
          </w:p>
        </w:tc>
      </w:tr>
    </w:tbl>
    <w:p w:rsidR="00EF5A1A" w:rsidRDefault="006808F9">
      <w:pPr>
        <w:rPr>
          <w:rFonts w:ascii="宋体" w:eastAsia="宋体" w:hAnsi="宋体" w:cs="宋体"/>
          <w:color w:val="000000" w:themeColor="text1"/>
          <w:sz w:val="18"/>
          <w:szCs w:val="18"/>
        </w:rPr>
        <w:sectPr w:rsidR="00EF5A1A">
          <w:pgSz w:w="16838" w:h="11906" w:orient="landscape"/>
          <w:pgMar w:top="1701" w:right="1701" w:bottom="1417" w:left="1701" w:header="851" w:footer="992" w:gutter="0"/>
          <w:cols w:space="425"/>
          <w:docGrid w:type="lines" w:linePitch="312"/>
        </w:sectPr>
      </w:pPr>
      <w:r>
        <w:rPr>
          <w:rFonts w:ascii="宋体" w:eastAsia="宋体" w:hAnsi="宋体" w:cs="宋体" w:hint="eastAsia"/>
          <w:color w:val="000000" w:themeColor="text1"/>
          <w:sz w:val="18"/>
          <w:szCs w:val="18"/>
        </w:rPr>
        <w:t>注</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绩效评价指标体系按百分制统计</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满分为</w:t>
      </w:r>
      <w:r>
        <w:rPr>
          <w:rFonts w:ascii="宋体" w:eastAsia="宋体" w:hAnsi="宋体" w:cs="宋体" w:hint="eastAsia"/>
          <w:color w:val="000000" w:themeColor="text1"/>
          <w:sz w:val="18"/>
          <w:szCs w:val="18"/>
        </w:rPr>
        <w:t>100</w:t>
      </w:r>
      <w:r>
        <w:rPr>
          <w:rFonts w:ascii="宋体" w:eastAsia="宋体" w:hAnsi="宋体" w:cs="宋体" w:hint="eastAsia"/>
          <w:color w:val="000000" w:themeColor="text1"/>
          <w:sz w:val="18"/>
          <w:szCs w:val="18"/>
        </w:rPr>
        <w:t>分</w:t>
      </w:r>
      <w:r>
        <w:rPr>
          <w:rFonts w:ascii="宋体" w:eastAsia="宋体" w:hAnsi="宋体" w:cs="宋体" w:hint="eastAsia"/>
          <w:color w:val="000000" w:themeColor="text1"/>
          <w:sz w:val="18"/>
          <w:szCs w:val="18"/>
        </w:rPr>
        <w:t>,</w:t>
      </w:r>
      <w:r>
        <w:rPr>
          <w:rFonts w:ascii="宋体" w:eastAsia="宋体" w:hAnsi="宋体" w:cs="宋体" w:hint="eastAsia"/>
          <w:color w:val="000000" w:themeColor="text1"/>
          <w:sz w:val="18"/>
          <w:szCs w:val="18"/>
        </w:rPr>
        <w:t>合格为</w:t>
      </w:r>
      <w:r>
        <w:rPr>
          <w:rFonts w:ascii="宋体" w:eastAsia="宋体" w:hAnsi="宋体" w:cs="宋体" w:hint="eastAsia"/>
          <w:color w:val="000000" w:themeColor="text1"/>
          <w:sz w:val="18"/>
          <w:szCs w:val="18"/>
        </w:rPr>
        <w:t>60</w:t>
      </w:r>
    </w:p>
    <w:p w:rsidR="00EF5A1A" w:rsidRDefault="00EF5A1A" w:rsidP="006C26B4"/>
    <w:sectPr w:rsidR="00EF5A1A" w:rsidSect="00EF5A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8F9" w:rsidRDefault="006808F9" w:rsidP="006C26B4">
      <w:r>
        <w:separator/>
      </w:r>
    </w:p>
  </w:endnote>
  <w:endnote w:type="continuationSeparator" w:id="1">
    <w:p w:rsidR="006808F9" w:rsidRDefault="006808F9" w:rsidP="006C2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8F9" w:rsidRDefault="006808F9" w:rsidP="006C26B4">
      <w:r>
        <w:separator/>
      </w:r>
    </w:p>
  </w:footnote>
  <w:footnote w:type="continuationSeparator" w:id="1">
    <w:p w:rsidR="006808F9" w:rsidRDefault="006808F9" w:rsidP="006C26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642A39"/>
    <w:rsid w:val="006808F9"/>
    <w:rsid w:val="006C26B4"/>
    <w:rsid w:val="00EF5A1A"/>
    <w:rsid w:val="10642A39"/>
    <w:rsid w:val="1F1B3613"/>
    <w:rsid w:val="42465B43"/>
    <w:rsid w:val="72BE4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A1A"/>
    <w:pPr>
      <w:widowControl w:val="0"/>
      <w:jc w:val="both"/>
    </w:pPr>
    <w:rPr>
      <w:kern w:val="2"/>
      <w:sz w:val="21"/>
      <w:szCs w:val="24"/>
    </w:rPr>
  </w:style>
  <w:style w:type="paragraph" w:styleId="1">
    <w:name w:val="heading 1"/>
    <w:basedOn w:val="a"/>
    <w:next w:val="a"/>
    <w:qFormat/>
    <w:rsid w:val="00EF5A1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F5A1A"/>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autoRedefine/>
    <w:uiPriority w:val="99"/>
    <w:qFormat/>
    <w:rsid w:val="00EF5A1A"/>
    <w:pPr>
      <w:widowControl/>
      <w:spacing w:after="160" w:line="240" w:lineRule="exact"/>
      <w:jc w:val="left"/>
    </w:pPr>
  </w:style>
  <w:style w:type="paragraph" w:styleId="a4">
    <w:name w:val="header"/>
    <w:basedOn w:val="a"/>
    <w:link w:val="Char0"/>
    <w:rsid w:val="006C26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C26B4"/>
    <w:rPr>
      <w:kern w:val="2"/>
      <w:sz w:val="18"/>
      <w:szCs w:val="18"/>
    </w:rPr>
  </w:style>
  <w:style w:type="paragraph" w:styleId="a5">
    <w:name w:val="footer"/>
    <w:basedOn w:val="a"/>
    <w:link w:val="Char1"/>
    <w:rsid w:val="006C26B4"/>
    <w:pPr>
      <w:tabs>
        <w:tab w:val="center" w:pos="4153"/>
        <w:tab w:val="right" w:pos="8306"/>
      </w:tabs>
      <w:snapToGrid w:val="0"/>
      <w:jc w:val="left"/>
    </w:pPr>
    <w:rPr>
      <w:sz w:val="18"/>
      <w:szCs w:val="18"/>
    </w:rPr>
  </w:style>
  <w:style w:type="character" w:customStyle="1" w:styleId="Char1">
    <w:name w:val="页脚 Char"/>
    <w:basedOn w:val="a0"/>
    <w:link w:val="a5"/>
    <w:rsid w:val="006C26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650</Words>
  <Characters>3709</Characters>
  <Application>Microsoft Office Word</Application>
  <DocSecurity>0</DocSecurity>
  <Lines>30</Lines>
  <Paragraphs>8</Paragraphs>
  <ScaleCrop>false</ScaleCrop>
  <Company>china</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dc:creator>
  <cp:lastModifiedBy>11</cp:lastModifiedBy>
  <cp:revision>2</cp:revision>
  <cp:lastPrinted>2025-01-14T01:58:00Z</cp:lastPrinted>
  <dcterms:created xsi:type="dcterms:W3CDTF">2025-03-18T00:12:00Z</dcterms:created>
  <dcterms:modified xsi:type="dcterms:W3CDTF">2025-03-18T00:12:00Z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3F955D78A20E416E8DB0E3A9917BFC71_11</vt:lpwstr>
  </property>
  <property fmtid="{D5CDD505-2E9C-101B-9397-08002B2CF9AE}" pid="4" name="KSOTemplateDocerSaveRecord">
    <vt:lpwstr>eyJoZGlkIjoiYWRkYzAxNWRhMDYxYzJhODlhZDI3M2U4YzU1NWI4MjgiLCJ1c2VySWQiOiI0NTg4Mzk3MDEifQ==</vt:lpwstr>
  </property>
</Properties>
</file>