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772A1">
      <w:pPr>
        <w:jc w:val="both"/>
        <w:rPr>
          <w:rFonts w:hint="default" w:ascii="黑体" w:hAnsi="黑体" w:eastAsia="黑体" w:cs="黑体"/>
          <w:b w:val="0"/>
          <w:bCs/>
          <w:color w:val="auto"/>
          <w:sz w:val="32"/>
          <w:szCs w:val="32"/>
          <w:lang w:val="en-US" w:eastAsia="zh-CN"/>
        </w:rPr>
      </w:pPr>
    </w:p>
    <w:p w14:paraId="6651AFE9">
      <w:pPr>
        <w:jc w:val="center"/>
        <w:rPr>
          <w:rFonts w:hint="eastAsia" w:ascii="宋体" w:hAnsi="宋体" w:eastAsia="仿宋_GB2312"/>
          <w:b/>
          <w:color w:val="auto"/>
          <w:sz w:val="36"/>
          <w:szCs w:val="36"/>
        </w:rPr>
      </w:pPr>
      <w:r>
        <w:rPr>
          <w:rFonts w:hint="eastAsia" w:ascii="宋体" w:hAnsi="宋体" w:eastAsia="仿宋_GB2312"/>
          <w:b/>
          <w:color w:val="auto"/>
          <w:sz w:val="36"/>
          <w:szCs w:val="36"/>
          <w:lang w:val="en-US" w:eastAsia="zh-CN"/>
        </w:rPr>
        <w:t>歙县</w:t>
      </w:r>
      <w:r>
        <w:rPr>
          <w:rFonts w:hint="eastAsia" w:ascii="宋体" w:hAnsi="宋体" w:eastAsia="仿宋_GB2312"/>
          <w:b/>
          <w:color w:val="auto"/>
          <w:sz w:val="36"/>
          <w:szCs w:val="36"/>
          <w:lang w:eastAsia="zh-CN"/>
        </w:rPr>
        <w:t>金川乡人民政府202</w:t>
      </w:r>
      <w:r>
        <w:rPr>
          <w:rFonts w:hint="eastAsia" w:ascii="宋体" w:hAnsi="宋体" w:eastAsia="仿宋_GB2312"/>
          <w:b/>
          <w:color w:val="auto"/>
          <w:sz w:val="36"/>
          <w:szCs w:val="36"/>
          <w:lang w:val="en-US" w:eastAsia="zh-CN"/>
        </w:rPr>
        <w:t>3</w:t>
      </w:r>
      <w:r>
        <w:rPr>
          <w:rFonts w:ascii="宋体" w:hAnsi="宋体" w:eastAsia="仿宋_GB2312"/>
          <w:b/>
          <w:color w:val="auto"/>
          <w:sz w:val="36"/>
          <w:szCs w:val="36"/>
        </w:rPr>
        <w:t>年</w:t>
      </w:r>
      <w:r>
        <w:rPr>
          <w:rFonts w:hint="eastAsia" w:ascii="宋体" w:hAnsi="宋体" w:eastAsia="仿宋_GB2312"/>
          <w:b/>
          <w:color w:val="auto"/>
          <w:sz w:val="36"/>
          <w:szCs w:val="36"/>
        </w:rPr>
        <w:t>度一般公共预算财政拨款</w:t>
      </w:r>
      <w:r>
        <w:rPr>
          <w:rFonts w:ascii="宋体" w:hAnsi="宋体" w:eastAsia="仿宋_GB2312"/>
          <w:b/>
          <w:color w:val="auto"/>
          <w:sz w:val="36"/>
          <w:szCs w:val="36"/>
        </w:rPr>
        <w:t>“三公</w:t>
      </w:r>
      <w:r>
        <w:rPr>
          <w:rFonts w:hint="eastAsia" w:ascii="宋体" w:hAnsi="宋体" w:eastAsia="仿宋_GB2312"/>
          <w:b/>
          <w:color w:val="auto"/>
          <w:sz w:val="36"/>
          <w:szCs w:val="36"/>
        </w:rPr>
        <w:t>”</w:t>
      </w:r>
      <w:r>
        <w:rPr>
          <w:rFonts w:ascii="宋体" w:hAnsi="宋体" w:eastAsia="仿宋_GB2312"/>
          <w:b/>
          <w:color w:val="auto"/>
          <w:sz w:val="36"/>
          <w:szCs w:val="36"/>
        </w:rPr>
        <w:t>经费</w:t>
      </w:r>
      <w:r>
        <w:rPr>
          <w:rFonts w:hint="eastAsia" w:ascii="宋体" w:hAnsi="宋体" w:eastAsia="仿宋_GB2312"/>
          <w:b/>
          <w:color w:val="auto"/>
          <w:sz w:val="36"/>
          <w:szCs w:val="36"/>
        </w:rPr>
        <w:t>支出决算</w:t>
      </w:r>
    </w:p>
    <w:p w14:paraId="55D1F3FA">
      <w:pPr>
        <w:jc w:val="center"/>
        <w:rPr>
          <w:rFonts w:hint="eastAsia" w:ascii="楷体_GB2312" w:eastAsia="楷体_GB2312"/>
          <w:color w:val="auto"/>
          <w:sz w:val="32"/>
          <w:szCs w:val="32"/>
        </w:rPr>
      </w:pPr>
    </w:p>
    <w:p w14:paraId="7887BD43">
      <w:pPr>
        <w:pStyle w:val="2"/>
        <w:rPr>
          <w:rFonts w:hint="eastAsia"/>
        </w:rPr>
      </w:pPr>
    </w:p>
    <w:p w14:paraId="71D222D8">
      <w:pPr>
        <w:adjustRightInd w:val="0"/>
        <w:snapToGrid w:val="0"/>
        <w:spacing w:line="360" w:lineRule="auto"/>
        <w:jc w:val="center"/>
        <w:rPr>
          <w:rFonts w:hint="eastAsia" w:ascii="宋体" w:hAnsi="宋体" w:eastAsia="仿宋_GB2312"/>
          <w:color w:val="auto"/>
          <w:sz w:val="6"/>
          <w:szCs w:val="32"/>
        </w:rPr>
      </w:pPr>
    </w:p>
    <w:p w14:paraId="201F84BA">
      <w:pPr>
        <w:rPr>
          <w:rFonts w:hint="eastAsia" w:ascii="黑体" w:hAnsi="黑体" w:eastAsia="黑体"/>
          <w:color w:val="auto"/>
          <w:sz w:val="32"/>
          <w:szCs w:val="32"/>
        </w:rPr>
      </w:pPr>
      <w:r>
        <w:rPr>
          <w:rFonts w:ascii="黑体" w:hAnsi="黑体" w:eastAsia="黑体"/>
          <w:color w:val="auto"/>
          <w:sz w:val="32"/>
          <w:szCs w:val="32"/>
        </w:rPr>
        <w:t xml:space="preserve">    </w:t>
      </w:r>
      <w:r>
        <w:rPr>
          <w:rFonts w:hint="eastAsia" w:ascii="黑体" w:hAnsi="黑体" w:eastAsia="黑体"/>
          <w:color w:val="auto"/>
          <w:sz w:val="32"/>
          <w:szCs w:val="32"/>
        </w:rPr>
        <w:t>一、</w:t>
      </w:r>
      <w:r>
        <w:rPr>
          <w:rFonts w:hint="eastAsia" w:ascii="黑体" w:hAnsi="黑体" w:eastAsia="黑体"/>
          <w:color w:val="auto"/>
          <w:sz w:val="32"/>
          <w:szCs w:val="32"/>
          <w:lang w:eastAsia="zh-CN"/>
        </w:rPr>
        <w:t>202</w:t>
      </w:r>
      <w:r>
        <w:rPr>
          <w:rFonts w:hint="eastAsia" w:ascii="黑体" w:hAnsi="黑体" w:eastAsia="黑体"/>
          <w:color w:val="auto"/>
          <w:sz w:val="32"/>
          <w:szCs w:val="32"/>
          <w:lang w:val="en-US" w:eastAsia="zh-CN"/>
        </w:rPr>
        <w:t>3</w:t>
      </w:r>
      <w:r>
        <w:rPr>
          <w:rFonts w:hint="eastAsia" w:ascii="黑体" w:hAnsi="黑体" w:eastAsia="黑体"/>
          <w:color w:val="auto"/>
          <w:sz w:val="32"/>
          <w:szCs w:val="32"/>
        </w:rPr>
        <w:t>年度一般公共预算财政拨款“三公”经费支出决算表</w:t>
      </w:r>
    </w:p>
    <w:p w14:paraId="41D42A90">
      <w:pPr>
        <w:jc w:val="right"/>
        <w:rPr>
          <w:rFonts w:hint="eastAsia" w:ascii="黑体" w:hAnsi="黑体" w:eastAsia="黑体"/>
          <w:color w:val="auto"/>
          <w:sz w:val="32"/>
          <w:szCs w:val="32"/>
        </w:rPr>
      </w:pPr>
      <w:r>
        <w:rPr>
          <w:rFonts w:hint="eastAsia" w:ascii="仿宋_GB2312" w:hAnsi="仿宋_GB2312" w:eastAsia="仿宋_GB2312" w:cs="仿宋_GB2312"/>
          <w:color w:val="auto"/>
          <w:sz w:val="32"/>
          <w:szCs w:val="32"/>
        </w:rPr>
        <w:t>单位：万元</w:t>
      </w:r>
    </w:p>
    <w:tbl>
      <w:tblPr>
        <w:tblStyle w:val="3"/>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673DC514">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7CF42198">
            <w:pPr>
              <w:widowControl/>
              <w:jc w:val="center"/>
              <w:rPr>
                <w:rFonts w:ascii="宋体" w:hAnsi="宋体" w:eastAsia="仿宋_GB2312" w:cs="宋体"/>
                <w:b/>
                <w:bCs/>
                <w:color w:val="auto"/>
                <w:kern w:val="0"/>
                <w:sz w:val="32"/>
                <w:szCs w:val="21"/>
              </w:rPr>
            </w:pPr>
            <w:r>
              <w:rPr>
                <w:rFonts w:hint="eastAsia" w:ascii="宋体" w:hAnsi="宋体" w:eastAsia="仿宋_GB2312" w:cs="宋体"/>
                <w:b/>
                <w:bCs/>
                <w:color w:val="auto"/>
                <w:kern w:val="0"/>
                <w:sz w:val="32"/>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3175235A">
            <w:pPr>
              <w:widowControl/>
              <w:jc w:val="center"/>
              <w:rPr>
                <w:rFonts w:ascii="宋体" w:hAnsi="宋体" w:eastAsia="仿宋_GB2312" w:cs="宋体"/>
                <w:b/>
                <w:bCs/>
                <w:color w:val="auto"/>
                <w:kern w:val="0"/>
                <w:sz w:val="32"/>
                <w:szCs w:val="21"/>
              </w:rPr>
            </w:pPr>
            <w:r>
              <w:rPr>
                <w:rFonts w:hint="eastAsia" w:ascii="宋体" w:hAnsi="宋体" w:eastAsia="仿宋_GB2312" w:cs="宋体"/>
                <w:b/>
                <w:bCs/>
                <w:color w:val="auto"/>
                <w:kern w:val="0"/>
                <w:sz w:val="32"/>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457BC191">
            <w:pPr>
              <w:widowControl/>
              <w:jc w:val="center"/>
              <w:rPr>
                <w:rFonts w:ascii="宋体" w:hAnsi="宋体" w:eastAsia="仿宋_GB2312" w:cs="宋体"/>
                <w:b/>
                <w:bCs/>
                <w:color w:val="auto"/>
                <w:kern w:val="0"/>
                <w:sz w:val="32"/>
                <w:szCs w:val="21"/>
              </w:rPr>
            </w:pPr>
            <w:r>
              <w:rPr>
                <w:rFonts w:hint="eastAsia" w:ascii="宋体" w:hAnsi="宋体" w:eastAsia="仿宋_GB2312" w:cs="宋体"/>
                <w:b/>
                <w:bCs/>
                <w:color w:val="auto"/>
                <w:kern w:val="0"/>
                <w:sz w:val="32"/>
                <w:szCs w:val="21"/>
              </w:rPr>
              <w:t>决 算 数</w:t>
            </w:r>
          </w:p>
        </w:tc>
      </w:tr>
      <w:tr w14:paraId="46AF9198">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8748944">
            <w:pPr>
              <w:widowControl/>
              <w:jc w:val="center"/>
              <w:rPr>
                <w:rFonts w:ascii="宋体" w:hAnsi="宋体" w:eastAsia="仿宋_GB2312" w:cs="宋体"/>
                <w:b/>
                <w:bCs/>
                <w:color w:val="auto"/>
                <w:kern w:val="0"/>
                <w:sz w:val="32"/>
                <w:szCs w:val="21"/>
              </w:rPr>
            </w:pPr>
            <w:r>
              <w:rPr>
                <w:rFonts w:hint="eastAsia" w:ascii="宋体" w:hAnsi="宋体" w:eastAsia="仿宋_GB2312" w:cs="宋体"/>
                <w:b/>
                <w:bCs/>
                <w:color w:val="auto"/>
                <w:kern w:val="0"/>
                <w:sz w:val="32"/>
                <w:szCs w:val="21"/>
              </w:rPr>
              <w:t>合  计</w:t>
            </w:r>
          </w:p>
        </w:tc>
        <w:tc>
          <w:tcPr>
            <w:tcW w:w="2157" w:type="dxa"/>
            <w:tcBorders>
              <w:top w:val="nil"/>
              <w:left w:val="nil"/>
              <w:bottom w:val="single" w:color="auto" w:sz="4" w:space="0"/>
              <w:right w:val="single" w:color="auto" w:sz="4" w:space="0"/>
            </w:tcBorders>
            <w:noWrap w:val="0"/>
            <w:vAlign w:val="center"/>
          </w:tcPr>
          <w:p w14:paraId="1BC5CB26">
            <w:pPr>
              <w:widowControl/>
              <w:jc w:val="center"/>
              <w:rPr>
                <w:rFonts w:ascii="宋体" w:hAnsi="宋体" w:eastAsia="仿宋_GB2312" w:cs="宋体"/>
                <w:b/>
                <w:bCs/>
                <w:color w:val="auto"/>
                <w:kern w:val="0"/>
                <w:sz w:val="32"/>
                <w:szCs w:val="21"/>
              </w:rPr>
            </w:pPr>
            <w:r>
              <w:rPr>
                <w:rFonts w:hint="eastAsia" w:ascii="宋体" w:hAnsi="宋体" w:eastAsia="仿宋_GB2312" w:cs="宋体"/>
                <w:b/>
                <w:bCs/>
                <w:color w:val="auto"/>
                <w:kern w:val="0"/>
                <w:sz w:val="32"/>
                <w:szCs w:val="21"/>
              </w:rPr>
              <w:t>　</w:t>
            </w:r>
          </w:p>
        </w:tc>
        <w:tc>
          <w:tcPr>
            <w:tcW w:w="2220" w:type="dxa"/>
            <w:tcBorders>
              <w:top w:val="nil"/>
              <w:left w:val="nil"/>
              <w:bottom w:val="single" w:color="auto" w:sz="4" w:space="0"/>
              <w:right w:val="single" w:color="auto" w:sz="4" w:space="0"/>
            </w:tcBorders>
            <w:noWrap w:val="0"/>
            <w:vAlign w:val="center"/>
          </w:tcPr>
          <w:p w14:paraId="3EB952C5">
            <w:pPr>
              <w:widowControl/>
              <w:jc w:val="center"/>
              <w:rPr>
                <w:rFonts w:ascii="宋体" w:hAnsi="宋体" w:eastAsia="仿宋_GB2312" w:cs="宋体"/>
                <w:b/>
                <w:bCs/>
                <w:color w:val="auto"/>
                <w:kern w:val="0"/>
                <w:sz w:val="32"/>
                <w:szCs w:val="21"/>
              </w:rPr>
            </w:pPr>
            <w:r>
              <w:rPr>
                <w:rFonts w:hint="eastAsia" w:ascii="宋体" w:hAnsi="宋体" w:eastAsia="仿宋_GB2312" w:cs="宋体"/>
                <w:b/>
                <w:bCs/>
                <w:color w:val="auto"/>
                <w:kern w:val="0"/>
                <w:sz w:val="32"/>
                <w:szCs w:val="21"/>
              </w:rPr>
              <w:t>　</w:t>
            </w:r>
          </w:p>
        </w:tc>
      </w:tr>
      <w:tr w14:paraId="291429FF">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BC4091B">
            <w:pPr>
              <w:widowControl/>
              <w:jc w:val="left"/>
              <w:rPr>
                <w:rFonts w:ascii="宋体" w:hAnsi="宋体" w:eastAsia="仿宋_GB2312" w:cs="宋体"/>
                <w:color w:val="auto"/>
                <w:kern w:val="0"/>
                <w:sz w:val="32"/>
                <w:szCs w:val="21"/>
              </w:rPr>
            </w:pPr>
            <w:r>
              <w:rPr>
                <w:rFonts w:hint="eastAsia" w:ascii="宋体" w:hAnsi="宋体" w:eastAsia="仿宋_GB2312" w:cs="宋体"/>
                <w:color w:val="auto"/>
                <w:kern w:val="0"/>
                <w:sz w:val="32"/>
                <w:szCs w:val="21"/>
              </w:rPr>
              <w:t>因公出国（境）费</w:t>
            </w:r>
          </w:p>
        </w:tc>
        <w:tc>
          <w:tcPr>
            <w:tcW w:w="2157" w:type="dxa"/>
            <w:tcBorders>
              <w:top w:val="nil"/>
              <w:left w:val="nil"/>
              <w:bottom w:val="single" w:color="auto" w:sz="4" w:space="0"/>
              <w:right w:val="single" w:color="auto" w:sz="4" w:space="0"/>
            </w:tcBorders>
            <w:noWrap w:val="0"/>
            <w:vAlign w:val="bottom"/>
          </w:tcPr>
          <w:p w14:paraId="4F19096D">
            <w:pPr>
              <w:widowControl/>
              <w:jc w:val="left"/>
              <w:rPr>
                <w:rFonts w:ascii="宋体" w:hAnsi="宋体" w:eastAsia="仿宋_GB2312" w:cs="宋体"/>
                <w:color w:val="auto"/>
                <w:kern w:val="0"/>
                <w:sz w:val="32"/>
                <w:szCs w:val="21"/>
              </w:rPr>
            </w:pPr>
            <w:r>
              <w:rPr>
                <w:rFonts w:hint="eastAsia" w:ascii="宋体" w:hAnsi="宋体" w:eastAsia="仿宋_GB2312" w:cs="宋体"/>
                <w:color w:val="auto"/>
                <w:kern w:val="0"/>
                <w:sz w:val="32"/>
                <w:szCs w:val="21"/>
              </w:rPr>
              <w:t>　</w:t>
            </w:r>
          </w:p>
        </w:tc>
        <w:tc>
          <w:tcPr>
            <w:tcW w:w="2220" w:type="dxa"/>
            <w:tcBorders>
              <w:top w:val="nil"/>
              <w:left w:val="nil"/>
              <w:bottom w:val="single" w:color="auto" w:sz="4" w:space="0"/>
              <w:right w:val="single" w:color="auto" w:sz="4" w:space="0"/>
            </w:tcBorders>
            <w:noWrap w:val="0"/>
            <w:vAlign w:val="bottom"/>
          </w:tcPr>
          <w:p w14:paraId="7537D7B8">
            <w:pPr>
              <w:widowControl/>
              <w:jc w:val="left"/>
              <w:rPr>
                <w:rFonts w:ascii="宋体" w:hAnsi="宋体" w:eastAsia="仿宋_GB2312" w:cs="宋体"/>
                <w:color w:val="auto"/>
                <w:kern w:val="0"/>
                <w:sz w:val="32"/>
                <w:szCs w:val="21"/>
              </w:rPr>
            </w:pPr>
            <w:r>
              <w:rPr>
                <w:rFonts w:hint="eastAsia" w:ascii="宋体" w:hAnsi="宋体" w:eastAsia="仿宋_GB2312" w:cs="宋体"/>
                <w:color w:val="auto"/>
                <w:kern w:val="0"/>
                <w:sz w:val="32"/>
                <w:szCs w:val="21"/>
              </w:rPr>
              <w:t>　</w:t>
            </w:r>
          </w:p>
        </w:tc>
      </w:tr>
      <w:tr w14:paraId="27EA505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7C451A0">
            <w:pPr>
              <w:widowControl/>
              <w:jc w:val="left"/>
              <w:rPr>
                <w:rFonts w:ascii="宋体" w:hAnsi="宋体" w:eastAsia="仿宋_GB2312" w:cs="宋体"/>
                <w:color w:val="auto"/>
                <w:kern w:val="0"/>
                <w:sz w:val="32"/>
                <w:szCs w:val="21"/>
              </w:rPr>
            </w:pPr>
            <w:r>
              <w:rPr>
                <w:rFonts w:hint="eastAsia" w:ascii="宋体" w:hAnsi="宋体" w:eastAsia="仿宋_GB2312" w:cs="宋体"/>
                <w:color w:val="auto"/>
                <w:kern w:val="0"/>
                <w:sz w:val="32"/>
                <w:szCs w:val="21"/>
              </w:rPr>
              <w:t>公务接待费</w:t>
            </w:r>
          </w:p>
        </w:tc>
        <w:tc>
          <w:tcPr>
            <w:tcW w:w="2157" w:type="dxa"/>
            <w:tcBorders>
              <w:top w:val="nil"/>
              <w:left w:val="nil"/>
              <w:bottom w:val="single" w:color="auto" w:sz="4" w:space="0"/>
              <w:right w:val="single" w:color="auto" w:sz="4" w:space="0"/>
            </w:tcBorders>
            <w:noWrap w:val="0"/>
            <w:vAlign w:val="bottom"/>
          </w:tcPr>
          <w:p w14:paraId="5CD6558D">
            <w:pPr>
              <w:widowControl/>
              <w:jc w:val="left"/>
              <w:rPr>
                <w:rFonts w:hint="default" w:ascii="宋体" w:hAnsi="宋体" w:eastAsia="仿宋_GB2312" w:cs="宋体"/>
                <w:color w:val="auto"/>
                <w:kern w:val="0"/>
                <w:sz w:val="32"/>
                <w:szCs w:val="21"/>
                <w:lang w:val="en-US" w:eastAsia="zh-CN"/>
              </w:rPr>
            </w:pPr>
            <w:r>
              <w:rPr>
                <w:rFonts w:hint="eastAsia" w:ascii="宋体" w:hAnsi="宋体" w:eastAsia="仿宋_GB2312" w:cs="宋体"/>
                <w:color w:val="auto"/>
                <w:kern w:val="0"/>
                <w:sz w:val="32"/>
                <w:szCs w:val="21"/>
              </w:rPr>
              <w:t>　</w:t>
            </w:r>
            <w:r>
              <w:rPr>
                <w:rFonts w:hint="eastAsia" w:ascii="宋体" w:hAnsi="宋体" w:eastAsia="仿宋_GB2312" w:cs="宋体"/>
                <w:color w:val="auto"/>
                <w:kern w:val="0"/>
                <w:sz w:val="32"/>
                <w:szCs w:val="21"/>
                <w:lang w:val="en-US" w:eastAsia="zh-CN"/>
              </w:rPr>
              <w:t>3.53</w:t>
            </w:r>
          </w:p>
        </w:tc>
        <w:tc>
          <w:tcPr>
            <w:tcW w:w="2220" w:type="dxa"/>
            <w:tcBorders>
              <w:top w:val="nil"/>
              <w:left w:val="nil"/>
              <w:bottom w:val="single" w:color="auto" w:sz="4" w:space="0"/>
              <w:right w:val="single" w:color="auto" w:sz="4" w:space="0"/>
            </w:tcBorders>
            <w:noWrap w:val="0"/>
            <w:vAlign w:val="bottom"/>
          </w:tcPr>
          <w:p w14:paraId="2FB9B37C">
            <w:pPr>
              <w:widowControl/>
              <w:jc w:val="left"/>
              <w:rPr>
                <w:rFonts w:hint="default" w:ascii="宋体" w:hAnsi="宋体" w:eastAsia="仿宋_GB2312" w:cs="宋体"/>
                <w:color w:val="auto"/>
                <w:kern w:val="0"/>
                <w:sz w:val="32"/>
                <w:szCs w:val="21"/>
                <w:lang w:val="en-US" w:eastAsia="zh-CN"/>
              </w:rPr>
            </w:pPr>
            <w:r>
              <w:rPr>
                <w:rFonts w:hint="eastAsia" w:ascii="宋体" w:hAnsi="宋体" w:eastAsia="仿宋_GB2312" w:cs="宋体"/>
                <w:color w:val="auto"/>
                <w:kern w:val="0"/>
                <w:sz w:val="32"/>
                <w:szCs w:val="21"/>
              </w:rPr>
              <w:t>　</w:t>
            </w:r>
            <w:r>
              <w:rPr>
                <w:rFonts w:hint="eastAsia" w:ascii="宋体" w:hAnsi="宋体" w:eastAsia="仿宋_GB2312" w:cs="宋体"/>
                <w:color w:val="auto"/>
                <w:kern w:val="0"/>
                <w:sz w:val="32"/>
                <w:szCs w:val="21"/>
                <w:lang w:val="en-US" w:eastAsia="zh-CN"/>
              </w:rPr>
              <w:t>3.53</w:t>
            </w:r>
          </w:p>
        </w:tc>
      </w:tr>
      <w:tr w14:paraId="7134375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D9C6938">
            <w:pPr>
              <w:widowControl/>
              <w:jc w:val="left"/>
              <w:rPr>
                <w:rFonts w:ascii="宋体" w:hAnsi="宋体" w:eastAsia="仿宋_GB2312" w:cs="宋体"/>
                <w:color w:val="auto"/>
                <w:kern w:val="0"/>
                <w:sz w:val="32"/>
                <w:szCs w:val="21"/>
              </w:rPr>
            </w:pPr>
            <w:r>
              <w:rPr>
                <w:rFonts w:hint="eastAsia" w:ascii="宋体" w:hAnsi="宋体" w:eastAsia="仿宋_GB2312" w:cs="宋体"/>
                <w:color w:val="auto"/>
                <w:kern w:val="0"/>
                <w:sz w:val="32"/>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027F09BD">
            <w:pPr>
              <w:widowControl/>
              <w:jc w:val="left"/>
              <w:rPr>
                <w:rFonts w:ascii="宋体" w:hAnsi="宋体" w:eastAsia="仿宋_GB2312" w:cs="宋体"/>
                <w:color w:val="auto"/>
                <w:kern w:val="0"/>
                <w:sz w:val="32"/>
                <w:szCs w:val="21"/>
              </w:rPr>
            </w:pPr>
            <w:r>
              <w:rPr>
                <w:rFonts w:hint="eastAsia" w:ascii="宋体" w:hAnsi="宋体" w:eastAsia="仿宋_GB2312" w:cs="宋体"/>
                <w:color w:val="auto"/>
                <w:kern w:val="0"/>
                <w:sz w:val="32"/>
                <w:szCs w:val="21"/>
              </w:rPr>
              <w:t>　</w:t>
            </w:r>
          </w:p>
        </w:tc>
        <w:tc>
          <w:tcPr>
            <w:tcW w:w="2220" w:type="dxa"/>
            <w:tcBorders>
              <w:top w:val="nil"/>
              <w:left w:val="nil"/>
              <w:bottom w:val="single" w:color="auto" w:sz="4" w:space="0"/>
              <w:right w:val="single" w:color="auto" w:sz="4" w:space="0"/>
            </w:tcBorders>
            <w:noWrap w:val="0"/>
            <w:vAlign w:val="bottom"/>
          </w:tcPr>
          <w:p w14:paraId="3F7CCE3E">
            <w:pPr>
              <w:widowControl/>
              <w:jc w:val="left"/>
              <w:rPr>
                <w:rFonts w:ascii="宋体" w:hAnsi="宋体" w:eastAsia="仿宋_GB2312" w:cs="宋体"/>
                <w:color w:val="auto"/>
                <w:kern w:val="0"/>
                <w:sz w:val="32"/>
                <w:szCs w:val="21"/>
              </w:rPr>
            </w:pPr>
            <w:r>
              <w:rPr>
                <w:rFonts w:hint="eastAsia" w:ascii="宋体" w:hAnsi="宋体" w:eastAsia="仿宋_GB2312" w:cs="宋体"/>
                <w:color w:val="auto"/>
                <w:kern w:val="0"/>
                <w:sz w:val="32"/>
                <w:szCs w:val="21"/>
              </w:rPr>
              <w:t>　</w:t>
            </w:r>
          </w:p>
        </w:tc>
      </w:tr>
      <w:tr w14:paraId="5CA72B4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6D40239">
            <w:pPr>
              <w:widowControl/>
              <w:jc w:val="left"/>
              <w:rPr>
                <w:rFonts w:ascii="宋体" w:hAnsi="宋体" w:eastAsia="仿宋_GB2312" w:cs="宋体"/>
                <w:color w:val="auto"/>
                <w:kern w:val="0"/>
                <w:sz w:val="32"/>
                <w:szCs w:val="21"/>
              </w:rPr>
            </w:pPr>
            <w:r>
              <w:rPr>
                <w:rFonts w:hint="eastAsia" w:ascii="宋体" w:hAnsi="宋体" w:eastAsia="仿宋_GB2312" w:cs="宋体"/>
                <w:color w:val="auto"/>
                <w:kern w:val="0"/>
                <w:sz w:val="32"/>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04F140B1">
            <w:pPr>
              <w:widowControl/>
              <w:jc w:val="left"/>
              <w:rPr>
                <w:rFonts w:ascii="宋体" w:hAnsi="宋体" w:eastAsia="仿宋_GB2312" w:cs="宋体"/>
                <w:color w:val="auto"/>
                <w:kern w:val="0"/>
                <w:sz w:val="32"/>
                <w:szCs w:val="21"/>
              </w:rPr>
            </w:pPr>
            <w:r>
              <w:rPr>
                <w:rFonts w:hint="eastAsia" w:ascii="宋体" w:hAnsi="宋体" w:eastAsia="仿宋_GB2312" w:cs="宋体"/>
                <w:color w:val="auto"/>
                <w:kern w:val="0"/>
                <w:sz w:val="32"/>
                <w:szCs w:val="21"/>
              </w:rPr>
              <w:t>　</w:t>
            </w:r>
          </w:p>
        </w:tc>
        <w:tc>
          <w:tcPr>
            <w:tcW w:w="2220" w:type="dxa"/>
            <w:tcBorders>
              <w:top w:val="nil"/>
              <w:left w:val="nil"/>
              <w:bottom w:val="single" w:color="auto" w:sz="4" w:space="0"/>
              <w:right w:val="single" w:color="auto" w:sz="4" w:space="0"/>
            </w:tcBorders>
            <w:noWrap w:val="0"/>
            <w:vAlign w:val="bottom"/>
          </w:tcPr>
          <w:p w14:paraId="2B77535E">
            <w:pPr>
              <w:widowControl/>
              <w:jc w:val="left"/>
              <w:rPr>
                <w:rFonts w:ascii="宋体" w:hAnsi="宋体" w:eastAsia="仿宋_GB2312" w:cs="宋体"/>
                <w:color w:val="auto"/>
                <w:kern w:val="0"/>
                <w:sz w:val="32"/>
                <w:szCs w:val="21"/>
              </w:rPr>
            </w:pPr>
            <w:r>
              <w:rPr>
                <w:rFonts w:hint="eastAsia" w:ascii="宋体" w:hAnsi="宋体" w:eastAsia="仿宋_GB2312" w:cs="宋体"/>
                <w:color w:val="auto"/>
                <w:kern w:val="0"/>
                <w:sz w:val="32"/>
                <w:szCs w:val="21"/>
              </w:rPr>
              <w:t>　</w:t>
            </w:r>
          </w:p>
        </w:tc>
      </w:tr>
      <w:tr w14:paraId="396825D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E7D53C1">
            <w:pPr>
              <w:widowControl/>
              <w:jc w:val="left"/>
              <w:rPr>
                <w:rFonts w:ascii="宋体" w:hAnsi="宋体" w:eastAsia="仿宋_GB2312" w:cs="宋体"/>
                <w:color w:val="auto"/>
                <w:kern w:val="0"/>
                <w:sz w:val="32"/>
                <w:szCs w:val="21"/>
              </w:rPr>
            </w:pPr>
            <w:r>
              <w:rPr>
                <w:rFonts w:hint="eastAsia" w:ascii="宋体" w:hAnsi="宋体" w:eastAsia="仿宋_GB2312" w:cs="宋体"/>
                <w:color w:val="auto"/>
                <w:kern w:val="0"/>
                <w:sz w:val="32"/>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14:paraId="3445D255">
            <w:pPr>
              <w:widowControl/>
              <w:jc w:val="left"/>
              <w:rPr>
                <w:rFonts w:ascii="宋体" w:hAnsi="宋体" w:eastAsia="仿宋_GB2312" w:cs="宋体"/>
                <w:color w:val="auto"/>
                <w:kern w:val="0"/>
                <w:sz w:val="32"/>
                <w:szCs w:val="21"/>
              </w:rPr>
            </w:pPr>
            <w:r>
              <w:rPr>
                <w:rFonts w:hint="eastAsia" w:ascii="宋体" w:hAnsi="宋体" w:eastAsia="仿宋_GB2312" w:cs="宋体"/>
                <w:color w:val="auto"/>
                <w:kern w:val="0"/>
                <w:sz w:val="32"/>
                <w:szCs w:val="21"/>
              </w:rPr>
              <w:t>　</w:t>
            </w:r>
          </w:p>
        </w:tc>
        <w:tc>
          <w:tcPr>
            <w:tcW w:w="2220" w:type="dxa"/>
            <w:tcBorders>
              <w:top w:val="nil"/>
              <w:left w:val="nil"/>
              <w:bottom w:val="single" w:color="auto" w:sz="4" w:space="0"/>
              <w:right w:val="single" w:color="auto" w:sz="4" w:space="0"/>
            </w:tcBorders>
            <w:noWrap w:val="0"/>
            <w:vAlign w:val="bottom"/>
          </w:tcPr>
          <w:p w14:paraId="36869F6F">
            <w:pPr>
              <w:widowControl/>
              <w:jc w:val="left"/>
              <w:rPr>
                <w:rFonts w:ascii="宋体" w:hAnsi="宋体" w:eastAsia="仿宋_GB2312" w:cs="宋体"/>
                <w:color w:val="auto"/>
                <w:kern w:val="0"/>
                <w:sz w:val="32"/>
                <w:szCs w:val="21"/>
              </w:rPr>
            </w:pPr>
            <w:r>
              <w:rPr>
                <w:rFonts w:hint="eastAsia" w:ascii="宋体" w:hAnsi="宋体" w:eastAsia="仿宋_GB2312" w:cs="宋体"/>
                <w:color w:val="auto"/>
                <w:kern w:val="0"/>
                <w:sz w:val="32"/>
                <w:szCs w:val="21"/>
              </w:rPr>
              <w:t>　</w:t>
            </w:r>
          </w:p>
        </w:tc>
      </w:tr>
    </w:tbl>
    <w:p w14:paraId="4F48F8E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eastAsia="仿宋_GB2312"/>
          <w:color w:val="auto"/>
          <w:sz w:val="21"/>
          <w:szCs w:val="21"/>
          <w:lang w:val="en-US" w:eastAsia="zh-CN"/>
        </w:rPr>
      </w:pPr>
    </w:p>
    <w:p w14:paraId="6D0C39F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 w:val="32"/>
          <w:szCs w:val="32"/>
        </w:rPr>
      </w:pPr>
      <w:r>
        <w:rPr>
          <w:rFonts w:hint="eastAsia" w:ascii="仿宋_GB2312" w:hAnsi="仿宋" w:eastAsia="仿宋_GB2312"/>
          <w:color w:val="auto"/>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eastAsia="仿宋_GB2312"/>
          <w:color w:val="auto"/>
          <w:sz w:val="21"/>
          <w:szCs w:val="21"/>
          <w:lang w:eastAsia="zh-CN"/>
        </w:rPr>
        <w:t xml:space="preserve"> </w:t>
      </w:r>
      <w:r>
        <w:rPr>
          <w:rFonts w:hint="eastAsia" w:ascii="仿宋_GB2312" w:hAnsi="仿宋" w:eastAsia="仿宋_GB2312"/>
          <w:color w:val="auto"/>
          <w:sz w:val="32"/>
          <w:szCs w:val="32"/>
          <w:lang w:eastAsia="zh-CN"/>
        </w:rPr>
        <w:t xml:space="preserve"> </w:t>
      </w:r>
      <w:r>
        <w:rPr>
          <w:rFonts w:hint="eastAsia" w:ascii="黑体" w:hAnsi="黑体" w:eastAsia="黑体"/>
          <w:color w:val="auto"/>
          <w:sz w:val="32"/>
          <w:szCs w:val="32"/>
        </w:rPr>
        <w:t xml:space="preserve">                                      </w:t>
      </w:r>
    </w:p>
    <w:p w14:paraId="35C4A243">
      <w:pPr>
        <w:rPr>
          <w:rFonts w:hint="eastAsia" w:ascii="黑体" w:hAnsi="黑体" w:eastAsia="黑体"/>
          <w:color w:val="auto"/>
          <w:sz w:val="32"/>
          <w:szCs w:val="32"/>
        </w:rPr>
      </w:pPr>
      <w:r>
        <w:rPr>
          <w:rFonts w:ascii="黑体" w:hAnsi="黑体" w:eastAsia="黑体"/>
          <w:color w:val="auto"/>
          <w:sz w:val="32"/>
          <w:szCs w:val="32"/>
        </w:rPr>
        <w:t xml:space="preserve">    </w:t>
      </w:r>
      <w:r>
        <w:rPr>
          <w:rFonts w:hint="eastAsia" w:ascii="黑体" w:hAnsi="黑体" w:eastAsia="黑体"/>
          <w:color w:val="auto"/>
          <w:sz w:val="32"/>
          <w:szCs w:val="32"/>
        </w:rPr>
        <w:t>二</w:t>
      </w:r>
      <w:r>
        <w:rPr>
          <w:rFonts w:ascii="黑体" w:hAnsi="黑体" w:eastAsia="黑体"/>
          <w:color w:val="auto"/>
          <w:sz w:val="32"/>
          <w:szCs w:val="32"/>
        </w:rPr>
        <w:t>、</w:t>
      </w:r>
      <w:r>
        <w:rPr>
          <w:rFonts w:hint="eastAsia" w:ascii="黑体" w:hAnsi="黑体" w:eastAsia="黑体"/>
          <w:color w:val="auto"/>
          <w:sz w:val="32"/>
          <w:szCs w:val="32"/>
          <w:lang w:eastAsia="zh-CN"/>
        </w:rPr>
        <w:t>202</w:t>
      </w:r>
      <w:r>
        <w:rPr>
          <w:rFonts w:hint="eastAsia" w:ascii="黑体" w:hAnsi="黑体" w:eastAsia="黑体"/>
          <w:color w:val="auto"/>
          <w:sz w:val="32"/>
          <w:szCs w:val="32"/>
          <w:lang w:val="en-US" w:eastAsia="zh-CN"/>
        </w:rPr>
        <w:t>3</w:t>
      </w:r>
      <w:r>
        <w:rPr>
          <w:rFonts w:ascii="黑体" w:hAnsi="黑体" w:eastAsia="黑体"/>
          <w:color w:val="auto"/>
          <w:sz w:val="32"/>
          <w:szCs w:val="32"/>
        </w:rPr>
        <w:t>年</w:t>
      </w:r>
      <w:r>
        <w:rPr>
          <w:rFonts w:hint="eastAsia" w:ascii="黑体" w:hAnsi="黑体" w:eastAsia="黑体"/>
          <w:color w:val="auto"/>
          <w:sz w:val="32"/>
          <w:szCs w:val="32"/>
        </w:rPr>
        <w:t>度一般公共预算财政拨款“三公”经费支出</w:t>
      </w:r>
      <w:r>
        <w:rPr>
          <w:rFonts w:ascii="黑体" w:hAnsi="黑体" w:eastAsia="黑体"/>
          <w:color w:val="auto"/>
          <w:sz w:val="32"/>
          <w:szCs w:val="32"/>
        </w:rPr>
        <w:t>情况说明</w:t>
      </w:r>
    </w:p>
    <w:p w14:paraId="2F62EDC8">
      <w:pPr>
        <w:ind w:firstLine="643" w:firstLineChars="200"/>
        <w:rPr>
          <w:rFonts w:hint="eastAsia" w:ascii="仿宋_GB2312" w:hAnsi="仿宋" w:eastAsia="仿宋_GB2312"/>
          <w:b/>
          <w:color w:val="auto"/>
          <w:sz w:val="32"/>
          <w:szCs w:val="32"/>
        </w:rPr>
      </w:pPr>
      <w:r>
        <w:rPr>
          <w:rFonts w:hint="eastAsia" w:ascii="仿宋_GB2312" w:hAnsi="仿宋" w:eastAsia="仿宋_GB2312"/>
          <w:b/>
          <w:color w:val="auto"/>
          <w:sz w:val="32"/>
          <w:szCs w:val="32"/>
        </w:rPr>
        <w:t>（一）一般公共预算财政拨款“三公”经费支出决算总体情况说明。</w:t>
      </w:r>
    </w:p>
    <w:p w14:paraId="4182704F">
      <w:pPr>
        <w:ind w:firstLine="640" w:firstLineChars="200"/>
        <w:rPr>
          <w:rFonts w:hint="eastAsia" w:ascii="楷体_GB2312" w:hAnsi="仿宋" w:eastAsia="楷体_GB2312"/>
          <w:color w:val="auto"/>
          <w:sz w:val="32"/>
          <w:szCs w:val="32"/>
        </w:rPr>
      </w:pPr>
      <w:r>
        <w:rPr>
          <w:rFonts w:hint="eastAsia" w:ascii="仿宋_GB2312" w:hAnsi="仿宋" w:eastAsia="仿宋_GB2312"/>
          <w:color w:val="auto"/>
          <w:sz w:val="32"/>
          <w:szCs w:val="32"/>
          <w:lang w:val="en-US" w:eastAsia="zh-CN"/>
        </w:rPr>
        <w:t>歙县</w:t>
      </w:r>
      <w:r>
        <w:rPr>
          <w:rFonts w:hint="eastAsia" w:ascii="仿宋_GB2312" w:hAnsi="仿宋" w:eastAsia="仿宋_GB2312"/>
          <w:color w:val="auto"/>
          <w:sz w:val="32"/>
          <w:szCs w:val="32"/>
          <w:lang w:eastAsia="zh-CN"/>
        </w:rPr>
        <w:t>金川乡人民政府202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年度一般公共预算财政拨款“三公”经费支出预算为</w:t>
      </w:r>
      <w:r>
        <w:rPr>
          <w:rFonts w:hint="eastAsia" w:ascii="仿宋_GB2312" w:hAnsi="仿宋" w:eastAsia="仿宋_GB2312"/>
          <w:color w:val="auto"/>
          <w:sz w:val="32"/>
          <w:szCs w:val="32"/>
          <w:lang w:val="en-US" w:eastAsia="zh-CN"/>
        </w:rPr>
        <w:t>3.53</w:t>
      </w:r>
      <w:r>
        <w:rPr>
          <w:rFonts w:hint="eastAsia" w:ascii="仿宋_GB2312" w:hAnsi="仿宋" w:eastAsia="仿宋_GB2312"/>
          <w:color w:val="auto"/>
          <w:sz w:val="32"/>
          <w:szCs w:val="32"/>
        </w:rPr>
        <w:t>万元，支出决算</w:t>
      </w:r>
      <w:r>
        <w:rPr>
          <w:rFonts w:hint="eastAsia" w:ascii="仿宋_GB2312" w:hAnsi="仿宋" w:eastAsia="仿宋_GB2312"/>
          <w:color w:val="auto"/>
          <w:sz w:val="32"/>
          <w:szCs w:val="32"/>
          <w:lang w:eastAsia="zh-CN"/>
        </w:rPr>
        <w:t>为</w:t>
      </w:r>
      <w:r>
        <w:rPr>
          <w:rFonts w:hint="eastAsia" w:ascii="仿宋_GB2312" w:hAnsi="仿宋" w:eastAsia="仿宋_GB2312"/>
          <w:color w:val="auto"/>
          <w:sz w:val="32"/>
          <w:szCs w:val="32"/>
          <w:lang w:val="en-US" w:eastAsia="zh-CN"/>
        </w:rPr>
        <w:t>3.53</w:t>
      </w:r>
      <w:r>
        <w:rPr>
          <w:rFonts w:hint="eastAsia" w:ascii="仿宋_GB2312" w:hAnsi="仿宋" w:eastAsia="仿宋_GB2312"/>
          <w:color w:val="auto"/>
          <w:sz w:val="32"/>
          <w:szCs w:val="32"/>
        </w:rPr>
        <w:t>万元，完成预算的</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u w:val="none"/>
          <w:lang w:eastAsia="zh-CN"/>
        </w:rPr>
        <w:t>较上年减少</w:t>
      </w:r>
      <w:r>
        <w:rPr>
          <w:rFonts w:hint="eastAsia" w:ascii="仿宋_GB2312" w:hAnsi="仿宋" w:eastAsia="仿宋_GB2312"/>
          <w:color w:val="auto"/>
          <w:sz w:val="32"/>
          <w:szCs w:val="32"/>
          <w:u w:val="none"/>
          <w:lang w:val="en-US" w:eastAsia="zh-CN"/>
        </w:rPr>
        <w:t>0.02</w:t>
      </w:r>
      <w:r>
        <w:rPr>
          <w:rFonts w:hint="eastAsia" w:ascii="仿宋_GB2312" w:hAnsi="仿宋" w:eastAsia="仿宋_GB2312"/>
          <w:color w:val="auto"/>
          <w:sz w:val="32"/>
          <w:szCs w:val="32"/>
          <w:u w:val="none"/>
        </w:rPr>
        <w:t>万元</w:t>
      </w:r>
      <w:r>
        <w:rPr>
          <w:rFonts w:hint="eastAsia" w:ascii="仿宋_GB2312" w:hAnsi="仿宋" w:eastAsia="仿宋_GB2312"/>
          <w:color w:val="auto"/>
          <w:sz w:val="32"/>
          <w:szCs w:val="32"/>
          <w:u w:val="none"/>
          <w:lang w:eastAsia="zh-CN"/>
        </w:rPr>
        <w:t>，下降</w:t>
      </w:r>
      <w:r>
        <w:rPr>
          <w:rFonts w:hint="eastAsia" w:ascii="仿宋_GB2312" w:hAnsi="仿宋" w:eastAsia="仿宋_GB2312"/>
          <w:color w:val="auto"/>
          <w:sz w:val="32"/>
          <w:szCs w:val="32"/>
          <w:u w:val="none"/>
          <w:lang w:val="en-US" w:eastAsia="zh-CN"/>
        </w:rPr>
        <w:t>0.05%。</w:t>
      </w:r>
      <w:r>
        <w:rPr>
          <w:rFonts w:hint="eastAsia" w:ascii="仿宋_GB2312" w:hAnsi="仿宋" w:eastAsia="仿宋_GB2312"/>
          <w:color w:val="auto"/>
          <w:sz w:val="32"/>
          <w:szCs w:val="32"/>
          <w:u w:val="none"/>
        </w:rPr>
        <w:t>决算数</w:t>
      </w:r>
      <w:r>
        <w:rPr>
          <w:rFonts w:hint="eastAsia" w:ascii="仿宋_GB2312" w:hAnsi="仿宋" w:eastAsia="仿宋_GB2312"/>
          <w:color w:val="auto"/>
          <w:sz w:val="32"/>
          <w:szCs w:val="32"/>
          <w:u w:val="none"/>
          <w:lang w:eastAsia="zh-CN"/>
        </w:rPr>
        <w:t>小</w:t>
      </w:r>
      <w:r>
        <w:rPr>
          <w:rFonts w:hint="eastAsia" w:ascii="仿宋_GB2312" w:hAnsi="仿宋" w:eastAsia="仿宋_GB2312"/>
          <w:color w:val="auto"/>
          <w:sz w:val="32"/>
          <w:szCs w:val="32"/>
          <w:u w:val="none"/>
        </w:rPr>
        <w:t>于预算数的主要原因是严格控制三公经费支出。</w:t>
      </w:r>
    </w:p>
    <w:p w14:paraId="19B3377E">
      <w:pPr>
        <w:ind w:firstLine="643" w:firstLineChars="200"/>
        <w:rPr>
          <w:rFonts w:hint="eastAsia" w:ascii="仿宋_GB2312" w:hAnsi="仿宋" w:eastAsia="仿宋_GB2312"/>
          <w:b/>
          <w:color w:val="auto"/>
          <w:sz w:val="32"/>
          <w:szCs w:val="32"/>
        </w:rPr>
      </w:pPr>
      <w:r>
        <w:rPr>
          <w:rFonts w:hint="eastAsia" w:ascii="仿宋_GB2312" w:hAnsi="仿宋" w:eastAsia="仿宋_GB2312"/>
          <w:b/>
          <w:bCs/>
          <w:color w:val="auto"/>
          <w:sz w:val="32"/>
          <w:szCs w:val="32"/>
        </w:rPr>
        <w:t>（二）</w:t>
      </w:r>
      <w:r>
        <w:rPr>
          <w:rFonts w:hint="eastAsia" w:ascii="仿宋_GB2312" w:hAnsi="仿宋" w:eastAsia="仿宋_GB2312"/>
          <w:b/>
          <w:color w:val="auto"/>
          <w:sz w:val="32"/>
          <w:szCs w:val="32"/>
        </w:rPr>
        <w:t>一般公共预算财政拨款“三公”经费支出决算具体情况说明。</w:t>
      </w:r>
    </w:p>
    <w:p w14:paraId="3CFD03C8">
      <w:p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歙县</w:t>
      </w:r>
      <w:r>
        <w:rPr>
          <w:rFonts w:hint="eastAsia" w:ascii="仿宋_GB2312" w:hAnsi="仿宋" w:eastAsia="仿宋_GB2312"/>
          <w:color w:val="auto"/>
          <w:sz w:val="32"/>
          <w:szCs w:val="32"/>
          <w:lang w:eastAsia="zh-CN"/>
        </w:rPr>
        <w:t>金川乡人民政府202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年度一般公共预算财政拨款“三公”经费支出决算中，因公出国（境）费支出决算</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万元，占</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%;公务接待费支出决算</w:t>
      </w:r>
      <w:r>
        <w:rPr>
          <w:rFonts w:hint="eastAsia" w:ascii="仿宋_GB2312" w:hAnsi="仿宋" w:eastAsia="仿宋_GB2312"/>
          <w:color w:val="auto"/>
          <w:sz w:val="32"/>
          <w:szCs w:val="32"/>
          <w:lang w:val="en-US" w:eastAsia="zh-CN"/>
        </w:rPr>
        <w:t>3.53</w:t>
      </w:r>
      <w:r>
        <w:rPr>
          <w:rFonts w:hint="eastAsia" w:ascii="仿宋_GB2312" w:hAnsi="仿宋" w:eastAsia="仿宋_GB2312"/>
          <w:color w:val="auto"/>
          <w:sz w:val="32"/>
          <w:szCs w:val="32"/>
        </w:rPr>
        <w:t>万元，占</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%；公务用车购置及运行维护费支出决算</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万元，占</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%。具体情况如下：</w:t>
      </w:r>
    </w:p>
    <w:p w14:paraId="5F0FECE9">
      <w:pPr>
        <w:ind w:firstLine="628"/>
        <w:rPr>
          <w:rFonts w:hint="eastAsia" w:ascii="仿宋_GB2312" w:hAnsi="仿宋" w:eastAsia="仿宋_GB2312"/>
          <w:color w:val="auto"/>
          <w:sz w:val="32"/>
          <w:szCs w:val="32"/>
        </w:rPr>
      </w:pPr>
      <w:r>
        <w:rPr>
          <w:rFonts w:hint="eastAsia" w:ascii="仿宋_GB2312" w:hAnsi="仿宋" w:eastAsia="仿宋_GB2312"/>
          <w:b/>
          <w:bCs/>
          <w:color w:val="auto"/>
          <w:sz w:val="32"/>
          <w:szCs w:val="32"/>
        </w:rPr>
        <w:t>1.因公出国（境）费</w:t>
      </w:r>
      <w:r>
        <w:rPr>
          <w:rFonts w:hint="eastAsia" w:ascii="仿宋_GB2312" w:hAnsi="仿宋" w:eastAsia="仿宋_GB2312"/>
          <w:color w:val="auto"/>
          <w:sz w:val="32"/>
          <w:szCs w:val="32"/>
          <w:lang w:eastAsia="zh-CN"/>
        </w:rPr>
        <w:t>预算为</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lang w:eastAsia="zh-CN"/>
        </w:rPr>
        <w:t>万元，支出决算为</w:t>
      </w:r>
      <w:r>
        <w:rPr>
          <w:rFonts w:hint="eastAsia" w:ascii="仿宋_GB2312" w:hAnsi="仿宋" w:eastAsia="仿宋_GB2312"/>
          <w:color w:val="auto"/>
          <w:sz w:val="32"/>
          <w:szCs w:val="32"/>
          <w:lang w:val="en-US" w:eastAsia="zh-CN"/>
        </w:rPr>
        <w:t>0万元</w:t>
      </w:r>
      <w:r>
        <w:rPr>
          <w:rFonts w:hint="eastAsia" w:ascii="仿宋_GB2312" w:hAnsi="仿宋" w:eastAsia="仿宋_GB2312"/>
          <w:color w:val="auto"/>
          <w:sz w:val="32"/>
          <w:szCs w:val="32"/>
          <w:lang w:eastAsia="zh-CN"/>
        </w:rPr>
        <w:t>，完成预算的</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u w:val="none"/>
          <w:lang w:eastAsia="zh-CN"/>
        </w:rPr>
        <w:t>较上年减少</w:t>
      </w:r>
      <w:r>
        <w:rPr>
          <w:rFonts w:hint="eastAsia" w:ascii="仿宋_GB2312" w:hAnsi="仿宋" w:eastAsia="仿宋_GB2312"/>
          <w:color w:val="auto"/>
          <w:sz w:val="32"/>
          <w:szCs w:val="32"/>
          <w:u w:val="none"/>
          <w:lang w:val="en-US" w:eastAsia="zh-CN"/>
        </w:rPr>
        <w:t>0</w:t>
      </w:r>
      <w:r>
        <w:rPr>
          <w:rFonts w:hint="eastAsia" w:ascii="仿宋_GB2312" w:hAnsi="仿宋" w:eastAsia="仿宋_GB2312"/>
          <w:color w:val="auto"/>
          <w:sz w:val="32"/>
          <w:szCs w:val="32"/>
          <w:u w:val="none"/>
        </w:rPr>
        <w:t>万元</w:t>
      </w:r>
      <w:r>
        <w:rPr>
          <w:rFonts w:hint="eastAsia" w:ascii="仿宋_GB2312" w:hAnsi="仿宋" w:eastAsia="仿宋_GB2312"/>
          <w:color w:val="auto"/>
          <w:sz w:val="32"/>
          <w:szCs w:val="32"/>
          <w:u w:val="none"/>
          <w:lang w:eastAsia="zh-CN"/>
        </w:rPr>
        <w:t>，下降</w:t>
      </w:r>
      <w:r>
        <w:rPr>
          <w:rFonts w:hint="eastAsia" w:ascii="仿宋_GB2312" w:hAnsi="仿宋" w:eastAsia="仿宋_GB2312"/>
          <w:color w:val="auto"/>
          <w:sz w:val="32"/>
          <w:szCs w:val="32"/>
          <w:u w:val="none"/>
          <w:lang w:val="en-US" w:eastAsia="zh-CN"/>
        </w:rPr>
        <w:t>0%。</w:t>
      </w:r>
      <w:r>
        <w:rPr>
          <w:rFonts w:ascii="仿宋" w:hAnsi="仿宋" w:eastAsia="仿宋" w:cs="仿宋"/>
          <w:i w:val="0"/>
          <w:iCs w:val="0"/>
          <w:caps w:val="0"/>
          <w:color w:val="333333"/>
          <w:spacing w:val="0"/>
          <w:sz w:val="30"/>
          <w:szCs w:val="30"/>
          <w:shd w:val="clear" w:fill="FFFFFF"/>
        </w:rPr>
        <w:t>决算数与预算数相同</w:t>
      </w:r>
      <w:r>
        <w:rPr>
          <w:rFonts w:hint="eastAsia" w:ascii="仿宋_GB2312" w:hAnsi="仿宋" w:eastAsia="仿宋_GB2312"/>
          <w:color w:val="auto"/>
          <w:sz w:val="32"/>
          <w:szCs w:val="32"/>
          <w:u w:val="none"/>
        </w:rPr>
        <w:t>主要原因是202</w:t>
      </w:r>
      <w:r>
        <w:rPr>
          <w:rFonts w:hint="eastAsia" w:ascii="仿宋_GB2312" w:hAnsi="仿宋" w:eastAsia="仿宋_GB2312"/>
          <w:color w:val="auto"/>
          <w:sz w:val="32"/>
          <w:szCs w:val="32"/>
          <w:u w:val="none"/>
          <w:lang w:val="en-US" w:eastAsia="zh-CN"/>
        </w:rPr>
        <w:t>2</w:t>
      </w:r>
      <w:r>
        <w:rPr>
          <w:rFonts w:hint="eastAsia" w:ascii="仿宋_GB2312" w:hAnsi="仿宋" w:eastAsia="仿宋_GB2312"/>
          <w:color w:val="auto"/>
          <w:sz w:val="32"/>
          <w:szCs w:val="32"/>
          <w:u w:val="none"/>
        </w:rPr>
        <w:t>年度、202</w:t>
      </w:r>
      <w:r>
        <w:rPr>
          <w:rFonts w:hint="eastAsia" w:ascii="仿宋_GB2312" w:hAnsi="仿宋" w:eastAsia="仿宋_GB2312"/>
          <w:color w:val="auto"/>
          <w:sz w:val="32"/>
          <w:szCs w:val="32"/>
          <w:u w:val="none"/>
          <w:lang w:val="en-US" w:eastAsia="zh-CN"/>
        </w:rPr>
        <w:t>3</w:t>
      </w:r>
      <w:r>
        <w:rPr>
          <w:rFonts w:hint="eastAsia" w:ascii="仿宋_GB2312" w:hAnsi="仿宋" w:eastAsia="仿宋_GB2312"/>
          <w:color w:val="auto"/>
          <w:sz w:val="32"/>
          <w:szCs w:val="32"/>
          <w:u w:val="none"/>
        </w:rPr>
        <w:t>年度均未安排因公出国（境）计划。</w:t>
      </w: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eastAsia="zh-CN"/>
        </w:rPr>
        <w:t>歙县金川乡人民政府</w:t>
      </w:r>
      <w:r>
        <w:rPr>
          <w:rFonts w:hint="eastAsia" w:ascii="仿宋_GB2312" w:hAnsi="仿宋" w:eastAsia="仿宋_GB2312"/>
          <w:color w:val="auto"/>
          <w:sz w:val="32"/>
          <w:szCs w:val="32"/>
        </w:rPr>
        <w:t>因公出国（境）团组</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次，累计出国（境）</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人次。经费使用严格按照《歙县财政局关于印发&lt;歙县因公临时出国经费管理办法&gt;的通知》（财行〔2015〕202号）相关规定执行。</w:t>
      </w:r>
    </w:p>
    <w:p w14:paraId="6D17E2F7">
      <w:pPr>
        <w:ind w:firstLine="643" w:firstLineChars="200"/>
        <w:rPr>
          <w:rFonts w:hint="eastAsia" w:ascii="仿宋_GB2312" w:hAnsi="仿宋" w:eastAsia="仿宋_GB2312"/>
          <w:color w:val="auto"/>
          <w:sz w:val="32"/>
          <w:szCs w:val="32"/>
        </w:rPr>
      </w:pPr>
      <w:r>
        <w:rPr>
          <w:rFonts w:hint="eastAsia" w:ascii="仿宋_GB2312" w:hAnsi="仿宋" w:eastAsia="仿宋_GB2312"/>
          <w:b/>
          <w:bCs/>
          <w:color w:val="auto"/>
          <w:sz w:val="32"/>
          <w:szCs w:val="32"/>
        </w:rPr>
        <w:t>2.公务接待费</w:t>
      </w:r>
      <w:r>
        <w:rPr>
          <w:rFonts w:hint="eastAsia" w:ascii="仿宋_GB2312" w:hAnsi="仿宋" w:eastAsia="仿宋_GB2312"/>
          <w:color w:val="auto"/>
          <w:sz w:val="32"/>
          <w:szCs w:val="32"/>
          <w:lang w:eastAsia="zh-CN"/>
        </w:rPr>
        <w:t>预算为</w:t>
      </w:r>
      <w:r>
        <w:rPr>
          <w:rFonts w:hint="eastAsia" w:ascii="仿宋_GB2312" w:hAnsi="仿宋" w:eastAsia="仿宋_GB2312"/>
          <w:color w:val="auto"/>
          <w:sz w:val="32"/>
          <w:szCs w:val="32"/>
          <w:lang w:val="en-US" w:eastAsia="zh-CN"/>
        </w:rPr>
        <w:t>3.53</w:t>
      </w:r>
      <w:r>
        <w:rPr>
          <w:rFonts w:hint="eastAsia" w:ascii="仿宋_GB2312" w:hAnsi="仿宋" w:eastAsia="仿宋_GB2312"/>
          <w:color w:val="auto"/>
          <w:sz w:val="32"/>
          <w:szCs w:val="32"/>
          <w:lang w:eastAsia="zh-CN"/>
        </w:rPr>
        <w:t>万元，支出决算为</w:t>
      </w:r>
      <w:r>
        <w:rPr>
          <w:rFonts w:hint="eastAsia" w:ascii="仿宋_GB2312" w:hAnsi="仿宋" w:eastAsia="仿宋_GB2312"/>
          <w:color w:val="auto"/>
          <w:sz w:val="32"/>
          <w:szCs w:val="32"/>
          <w:lang w:val="en-US" w:eastAsia="zh-CN"/>
        </w:rPr>
        <w:t>3.53万元</w:t>
      </w:r>
      <w:r>
        <w:rPr>
          <w:rFonts w:hint="eastAsia" w:ascii="仿宋_GB2312" w:hAnsi="仿宋" w:eastAsia="仿宋_GB2312"/>
          <w:color w:val="auto"/>
          <w:sz w:val="32"/>
          <w:szCs w:val="32"/>
          <w:lang w:eastAsia="zh-CN"/>
        </w:rPr>
        <w:t>，完成预算的</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u w:val="none"/>
          <w:lang w:eastAsia="zh-CN"/>
        </w:rPr>
        <w:t>较上年减少（增加）</w:t>
      </w:r>
      <w:r>
        <w:rPr>
          <w:rFonts w:hint="eastAsia" w:ascii="仿宋_GB2312" w:hAnsi="仿宋" w:eastAsia="仿宋_GB2312"/>
          <w:color w:val="auto"/>
          <w:sz w:val="32"/>
          <w:szCs w:val="32"/>
          <w:u w:val="none"/>
          <w:lang w:val="en-US" w:eastAsia="zh-CN"/>
        </w:rPr>
        <w:t>0.02</w:t>
      </w:r>
      <w:r>
        <w:rPr>
          <w:rFonts w:hint="eastAsia" w:ascii="仿宋_GB2312" w:hAnsi="仿宋" w:eastAsia="仿宋_GB2312"/>
          <w:color w:val="auto"/>
          <w:sz w:val="32"/>
          <w:szCs w:val="32"/>
          <w:u w:val="none"/>
        </w:rPr>
        <w:t>万元</w:t>
      </w:r>
      <w:r>
        <w:rPr>
          <w:rFonts w:hint="eastAsia" w:ascii="仿宋_GB2312" w:hAnsi="仿宋" w:eastAsia="仿宋_GB2312"/>
          <w:color w:val="auto"/>
          <w:sz w:val="32"/>
          <w:szCs w:val="32"/>
          <w:u w:val="none"/>
          <w:lang w:eastAsia="zh-CN"/>
        </w:rPr>
        <w:t>，下降（增长）</w:t>
      </w:r>
      <w:r>
        <w:rPr>
          <w:rFonts w:hint="eastAsia" w:ascii="仿宋_GB2312" w:hAnsi="仿宋" w:eastAsia="仿宋_GB2312"/>
          <w:color w:val="auto"/>
          <w:sz w:val="32"/>
          <w:szCs w:val="32"/>
          <w:u w:val="none"/>
          <w:lang w:val="en-US" w:eastAsia="zh-CN"/>
        </w:rPr>
        <w:t>0.05%。</w:t>
      </w:r>
      <w:r>
        <w:rPr>
          <w:rFonts w:hint="eastAsia" w:ascii="仿宋_GB2312" w:hAnsi="仿宋" w:eastAsia="仿宋_GB2312"/>
          <w:color w:val="auto"/>
          <w:sz w:val="32"/>
          <w:szCs w:val="32"/>
          <w:u w:val="none"/>
        </w:rPr>
        <w:t>决算数</w:t>
      </w:r>
      <w:r>
        <w:rPr>
          <w:rFonts w:hint="eastAsia" w:ascii="仿宋_GB2312" w:hAnsi="仿宋" w:eastAsia="仿宋_GB2312"/>
          <w:color w:val="auto"/>
          <w:sz w:val="32"/>
          <w:szCs w:val="32"/>
          <w:u w:val="none"/>
          <w:lang w:eastAsia="zh-CN"/>
        </w:rPr>
        <w:t>等于</w:t>
      </w:r>
      <w:r>
        <w:rPr>
          <w:rFonts w:hint="eastAsia" w:ascii="仿宋_GB2312" w:hAnsi="仿宋" w:eastAsia="仿宋_GB2312"/>
          <w:color w:val="auto"/>
          <w:sz w:val="32"/>
          <w:szCs w:val="32"/>
          <w:u w:val="none"/>
        </w:rPr>
        <w:t>预算数。决算数</w:t>
      </w:r>
      <w:r>
        <w:rPr>
          <w:rFonts w:hint="eastAsia" w:ascii="仿宋_GB2312" w:hAnsi="仿宋" w:eastAsia="仿宋_GB2312"/>
          <w:color w:val="auto"/>
          <w:sz w:val="32"/>
          <w:szCs w:val="32"/>
          <w:u w:val="none"/>
          <w:lang w:eastAsia="zh-CN"/>
        </w:rPr>
        <w:t>较上年减少</w:t>
      </w:r>
      <w:r>
        <w:rPr>
          <w:rFonts w:hint="eastAsia" w:ascii="仿宋_GB2312" w:hAnsi="仿宋" w:eastAsia="仿宋_GB2312"/>
          <w:color w:val="auto"/>
          <w:sz w:val="32"/>
          <w:szCs w:val="32"/>
          <w:u w:val="none"/>
        </w:rPr>
        <w:t>的主要原因是严格控制三公经费支出。</w:t>
      </w: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歙县</w:t>
      </w:r>
      <w:r>
        <w:rPr>
          <w:rFonts w:hint="eastAsia" w:ascii="仿宋_GB2312" w:hAnsi="仿宋" w:eastAsia="仿宋_GB2312"/>
          <w:color w:val="auto"/>
          <w:sz w:val="32"/>
          <w:szCs w:val="32"/>
          <w:lang w:eastAsia="zh-CN"/>
        </w:rPr>
        <w:t>金川乡人民政府</w:t>
      </w:r>
      <w:r>
        <w:rPr>
          <w:rFonts w:hint="eastAsia" w:ascii="仿宋_GB2312" w:hAnsi="仿宋" w:eastAsia="仿宋_GB2312"/>
          <w:color w:val="auto"/>
          <w:sz w:val="32"/>
          <w:szCs w:val="32"/>
        </w:rPr>
        <w:t>国内公务接待共</w:t>
      </w:r>
      <w:r>
        <w:rPr>
          <w:rFonts w:hint="eastAsia" w:ascii="仿宋_GB2312" w:hAnsi="仿宋" w:eastAsia="仿宋_GB2312"/>
          <w:color w:val="auto"/>
          <w:sz w:val="32"/>
          <w:szCs w:val="32"/>
          <w:lang w:val="en-US" w:eastAsia="zh-CN"/>
        </w:rPr>
        <w:t>43</w:t>
      </w:r>
      <w:r>
        <w:rPr>
          <w:rFonts w:hint="eastAsia" w:ascii="仿宋_GB2312" w:hAnsi="仿宋" w:eastAsia="仿宋_GB2312"/>
          <w:color w:val="auto"/>
          <w:sz w:val="32"/>
          <w:szCs w:val="32"/>
        </w:rPr>
        <w:t>批次（其中外事接待</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批次），</w:t>
      </w:r>
      <w:r>
        <w:rPr>
          <w:rFonts w:hint="eastAsia" w:ascii="仿宋_GB2312" w:hAnsi="仿宋" w:eastAsia="仿宋_GB2312"/>
          <w:color w:val="auto"/>
          <w:sz w:val="32"/>
          <w:szCs w:val="32"/>
          <w:lang w:val="en-US" w:eastAsia="zh-CN"/>
        </w:rPr>
        <w:t>320</w:t>
      </w:r>
      <w:r>
        <w:rPr>
          <w:rFonts w:hint="eastAsia" w:ascii="仿宋_GB2312" w:hAnsi="仿宋" w:eastAsia="仿宋_GB2312"/>
          <w:color w:val="auto"/>
          <w:sz w:val="32"/>
          <w:szCs w:val="32"/>
        </w:rPr>
        <w:t>人次（其中外事接待</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人次）。主要是用于接待上级单位来我镇交流、指导。</w:t>
      </w:r>
      <w:r>
        <w:rPr>
          <w:rFonts w:hint="eastAsia" w:ascii="仿宋_GB2312" w:hAnsi="仿宋" w:eastAsia="仿宋_GB2312" w:cs="Times New Roman"/>
          <w:sz w:val="32"/>
          <w:szCs w:val="32"/>
        </w:rPr>
        <w:t>经费使用贯彻</w:t>
      </w:r>
      <w:bookmarkStart w:id="0" w:name="_GoBack"/>
      <w:bookmarkEnd w:id="0"/>
      <w:r>
        <w:rPr>
          <w:rFonts w:hint="eastAsia" w:ascii="仿宋_GB2312" w:hAnsi="仿宋" w:eastAsia="仿宋_GB2312" w:cs="Times New Roman"/>
          <w:sz w:val="32"/>
          <w:szCs w:val="32"/>
          <w:lang w:eastAsia="zh-CN"/>
        </w:rPr>
        <w:t>中央八项规定</w:t>
      </w:r>
      <w:r>
        <w:rPr>
          <w:rFonts w:hint="eastAsia" w:ascii="仿宋_GB2312" w:hAnsi="仿宋" w:eastAsia="仿宋_GB2312" w:cs="Times New Roman"/>
          <w:sz w:val="32"/>
          <w:szCs w:val="32"/>
        </w:rPr>
        <w:t>和省委省政府30条要求，严格执行《党政机关厉行节约反对浪费条例》、《关于</w:t>
      </w:r>
      <w:r>
        <w:rPr>
          <w:rFonts w:hint="eastAsia" w:ascii="仿宋_GB2312" w:hAnsi="仿宋" w:eastAsia="仿宋_GB2312" w:cs="Times New Roman"/>
          <w:sz w:val="32"/>
          <w:szCs w:val="32"/>
          <w:lang w:val="en-US" w:eastAsia="zh-CN"/>
        </w:rPr>
        <w:t>印</w:t>
      </w:r>
      <w:r>
        <w:rPr>
          <w:rFonts w:hint="eastAsia" w:ascii="仿宋_GB2312" w:hAnsi="仿宋" w:eastAsia="仿宋_GB2312" w:cs="Times New Roman"/>
          <w:sz w:val="32"/>
          <w:szCs w:val="32"/>
        </w:rPr>
        <w:t>发&lt;</w:t>
      </w:r>
      <w:r>
        <w:rPr>
          <w:rFonts w:hint="eastAsia" w:ascii="仿宋_GB2312" w:hAnsi="仿宋" w:eastAsia="仿宋_GB2312" w:cs="Times New Roman"/>
          <w:sz w:val="32"/>
          <w:szCs w:val="32"/>
          <w:lang w:val="en-US" w:eastAsia="zh-CN"/>
        </w:rPr>
        <w:t>歙县县直机关事业单位公务接待费管理暂行办法</w:t>
      </w:r>
      <w:r>
        <w:rPr>
          <w:rFonts w:hint="eastAsia" w:ascii="仿宋_GB2312" w:hAnsi="仿宋" w:eastAsia="仿宋_GB2312" w:cs="Times New Roman"/>
          <w:sz w:val="32"/>
          <w:szCs w:val="32"/>
        </w:rPr>
        <w:t>&gt;的通知》（财行〔201</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67</w:t>
      </w:r>
      <w:r>
        <w:rPr>
          <w:rFonts w:hint="eastAsia" w:ascii="仿宋_GB2312" w:hAnsi="仿宋" w:eastAsia="仿宋_GB2312" w:cs="Times New Roman"/>
          <w:sz w:val="32"/>
          <w:szCs w:val="32"/>
        </w:rPr>
        <w:t>号）</w:t>
      </w:r>
      <w:r>
        <w:rPr>
          <w:rFonts w:hint="eastAsia" w:ascii="仿宋_GB2312" w:hAnsi="仿宋" w:eastAsia="仿宋_GB2312"/>
          <w:color w:val="auto"/>
          <w:sz w:val="32"/>
          <w:szCs w:val="32"/>
        </w:rPr>
        <w:t>。</w:t>
      </w:r>
    </w:p>
    <w:p w14:paraId="37273F7B">
      <w:pPr>
        <w:pStyle w:val="2"/>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lang w:val="en-US" w:eastAsia="zh-CN"/>
        </w:rPr>
      </w:pPr>
      <w:r>
        <w:rPr>
          <w:rFonts w:hint="eastAsia" w:ascii="仿宋_GB2312" w:hAnsi="仿宋" w:eastAsia="仿宋_GB2312"/>
          <w:b/>
          <w:bCs/>
          <w:color w:val="auto"/>
          <w:sz w:val="32"/>
          <w:szCs w:val="32"/>
        </w:rPr>
        <w:t>3.公务用车购置及运行维护费</w:t>
      </w:r>
      <w:r>
        <w:rPr>
          <w:rFonts w:hint="eastAsia" w:ascii="仿宋_GB2312" w:hAnsi="仿宋" w:eastAsia="仿宋_GB2312"/>
          <w:color w:val="auto"/>
          <w:sz w:val="32"/>
          <w:szCs w:val="32"/>
          <w:lang w:eastAsia="zh-CN"/>
        </w:rPr>
        <w:t>预算为</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lang w:eastAsia="zh-CN"/>
        </w:rPr>
        <w:t>万元，支出决算为</w:t>
      </w:r>
      <w:r>
        <w:rPr>
          <w:rFonts w:hint="eastAsia" w:ascii="仿宋_GB2312" w:hAnsi="仿宋" w:eastAsia="仿宋_GB2312"/>
          <w:color w:val="auto"/>
          <w:sz w:val="32"/>
          <w:szCs w:val="32"/>
          <w:lang w:val="en-US" w:eastAsia="zh-CN"/>
        </w:rPr>
        <w:t>0万元</w:t>
      </w:r>
      <w:r>
        <w:rPr>
          <w:rFonts w:hint="eastAsia" w:ascii="仿宋_GB2312" w:hAnsi="仿宋" w:eastAsia="仿宋_GB2312"/>
          <w:color w:val="auto"/>
          <w:sz w:val="32"/>
          <w:szCs w:val="32"/>
          <w:lang w:eastAsia="zh-CN"/>
        </w:rPr>
        <w:t>，完成预算的</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u w:val="none"/>
          <w:lang w:eastAsia="zh-CN"/>
        </w:rPr>
        <w:t>算数与预算数相同。较上年减少0万元，下降0%。原因是202</w:t>
      </w:r>
      <w:r>
        <w:rPr>
          <w:rFonts w:hint="eastAsia" w:ascii="仿宋_GB2312" w:hAnsi="仿宋" w:eastAsia="仿宋_GB2312"/>
          <w:color w:val="auto"/>
          <w:sz w:val="32"/>
          <w:szCs w:val="32"/>
          <w:u w:val="none"/>
          <w:lang w:val="en-US" w:eastAsia="zh-CN"/>
        </w:rPr>
        <w:t>2</w:t>
      </w:r>
      <w:r>
        <w:rPr>
          <w:rFonts w:hint="eastAsia" w:ascii="仿宋_GB2312" w:hAnsi="仿宋" w:eastAsia="仿宋_GB2312"/>
          <w:color w:val="auto"/>
          <w:sz w:val="32"/>
          <w:szCs w:val="32"/>
          <w:u w:val="none"/>
          <w:lang w:eastAsia="zh-CN"/>
        </w:rPr>
        <w:t>年度、202</w:t>
      </w:r>
      <w:r>
        <w:rPr>
          <w:rFonts w:hint="eastAsia" w:ascii="仿宋_GB2312" w:hAnsi="仿宋" w:eastAsia="仿宋_GB2312"/>
          <w:color w:val="auto"/>
          <w:sz w:val="32"/>
          <w:szCs w:val="32"/>
          <w:u w:val="none"/>
          <w:lang w:val="en-US" w:eastAsia="zh-CN"/>
        </w:rPr>
        <w:t>3</w:t>
      </w:r>
      <w:r>
        <w:rPr>
          <w:rFonts w:hint="eastAsia" w:ascii="仿宋_GB2312" w:hAnsi="仿宋" w:eastAsia="仿宋_GB2312"/>
          <w:color w:val="auto"/>
          <w:sz w:val="32"/>
          <w:szCs w:val="32"/>
          <w:u w:val="none"/>
          <w:lang w:eastAsia="zh-CN"/>
        </w:rPr>
        <w:t>年度均未安排公务用车购置费，也未安排公务用车运行维护费。截至202</w:t>
      </w:r>
      <w:r>
        <w:rPr>
          <w:rFonts w:hint="eastAsia" w:ascii="仿宋_GB2312" w:hAnsi="仿宋" w:eastAsia="仿宋_GB2312"/>
          <w:color w:val="auto"/>
          <w:sz w:val="32"/>
          <w:szCs w:val="32"/>
          <w:u w:val="none"/>
          <w:lang w:val="en-US" w:eastAsia="zh-CN"/>
        </w:rPr>
        <w:t>3</w:t>
      </w:r>
      <w:r>
        <w:rPr>
          <w:rFonts w:hint="eastAsia" w:ascii="仿宋_GB2312" w:hAnsi="仿宋" w:eastAsia="仿宋_GB2312"/>
          <w:color w:val="auto"/>
          <w:sz w:val="32"/>
          <w:szCs w:val="32"/>
          <w:u w:val="none"/>
          <w:lang w:eastAsia="zh-CN"/>
        </w:rPr>
        <w:t xml:space="preserve">年12月31日，歙县金川乡人民政府部门及所属单位开支财政拨款的公务用车保有量为0辆。                       </w:t>
      </w:r>
    </w:p>
    <w:p w14:paraId="5374CBDE"/>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MTk5NWQ1NDE5NzY5MDNjZmE1OWMwZWU4ZjUxNmYifQ=="/>
    <w:docVar w:name="KSO_WPS_MARK_KEY" w:val="561c7e2f-4045-4f02-956e-3b260b803061"/>
  </w:docVars>
  <w:rsids>
    <w:rsidRoot w:val="71DC1DB8"/>
    <w:rsid w:val="03AC38D7"/>
    <w:rsid w:val="15910B7E"/>
    <w:rsid w:val="16891F34"/>
    <w:rsid w:val="274A6DDF"/>
    <w:rsid w:val="3E4B1963"/>
    <w:rsid w:val="5E703550"/>
    <w:rsid w:val="5E990DC8"/>
    <w:rsid w:val="5F73441E"/>
    <w:rsid w:val="71DC1D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1045</Words>
  <Characters>1150</Characters>
  <Lines>0</Lines>
  <Paragraphs>0</Paragraphs>
  <TotalTime>10</TotalTime>
  <ScaleCrop>false</ScaleCrop>
  <LinksUpToDate>false</LinksUpToDate>
  <CharactersWithSpaces>1251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2024-10-01T01:20:00Z</dcterms:created>
  <dc:creator>瑞</dc:creator>
  <cp:lastModifiedBy>Maura</cp:lastModifiedBy>
  <dcterms:modified xsi:type="dcterms:W3CDTF">2025-02-26T05:16:37Z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F993C3D63CDE4CF686E2C4D5EF7BDEBE_11</vt:lpwstr>
  </property>
  <property fmtid="{D5CDD505-2E9C-101B-9397-08002B2CF9AE}" pid="4" name="KSOTemplateDocerSaveRecord">
    <vt:lpwstr>eyJoZGlkIjoiNDUyNTc3YzliMzhhNTFlZTkwN2JmYTZmZjE0NTVkMDIiLCJ1c2VySWQiOiI0NTUxMzMzMDMifQ==</vt:lpwstr>
  </property>
</Properties>
</file>