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歙县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机关事业单位基本养老保险转移支付202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2023年中央下达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机关事业单位基本养老保险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补助资金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4472.68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计划到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,确保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我县机关事业单位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退休人员待遇领取人员养老金及时足额发放,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圆满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完成年度总目标。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 项目资金到位情况分析。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项目资金到位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4472.68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 项目资金执行情况分析。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全年执行数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4472.68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万元，预算资金执行率达到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%。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  <w:t>（二）资金管理情况分析。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为加强和规范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机关事业单位基本养老保险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资金管理，提高资金使用效益，制定了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CN"/>
        </w:rPr>
        <w:t>《歙县基本养老保险基金管理中心内部控制制度》、《歙县机关事业单位退休人员领取养老保险待遇及资格认证暂行规定（试行）》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和《养老保险基金风险管理有关制度》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，由歙县人社局财务股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对资金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实行财政专户管理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实行专款、专账、专户管理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对岗位设置、经办业务流程、操作权限、审批制度等进行严格管理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确保了资金安全、合理、有效使用。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楷体" w:eastAsia="仿宋_GB2312"/>
          <w:sz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  <w:t>（三）总体绩效目标完成情况分析。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楷体" w:eastAsia="仿宋_GB2312"/>
          <w:sz w:val="32"/>
          <w:highlight w:val="none"/>
        </w:rPr>
      </w:pPr>
      <w:r>
        <w:rPr>
          <w:rFonts w:hint="default" w:ascii="仿宋_GB2312" w:hAnsi="楷体" w:eastAsia="仿宋_GB2312"/>
          <w:sz w:val="32"/>
          <w:highlight w:val="none"/>
        </w:rPr>
        <w:t>认真落实养老保险待遇相关政策，多措并举推进离退休人员基本养老金按时足额发放，确保发放“不错、不漏、不少、不晚”。2023年，共计新增办理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384</w:t>
      </w:r>
      <w:r>
        <w:rPr>
          <w:rFonts w:hint="default" w:ascii="仿宋_GB2312" w:hAnsi="楷体" w:eastAsia="仿宋_GB2312"/>
          <w:sz w:val="32"/>
          <w:highlight w:val="none"/>
        </w:rPr>
        <w:t>名机关事业单位退休人员养老金待遇计发和247名2022年度机关事业单位退休人员养老待遇重新核定工作；完成符合调待政策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0.57万</w:t>
      </w:r>
      <w:r>
        <w:rPr>
          <w:rFonts w:hint="default" w:ascii="仿宋_GB2312" w:hAnsi="楷体" w:eastAsia="仿宋_GB2312"/>
          <w:sz w:val="32"/>
          <w:highlight w:val="none"/>
        </w:rPr>
        <w:t>人，人均调待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152.25</w:t>
      </w:r>
      <w:r>
        <w:rPr>
          <w:rFonts w:hint="default" w:ascii="仿宋_GB2312" w:hAnsi="楷体" w:eastAsia="仿宋_GB2312"/>
          <w:sz w:val="32"/>
          <w:highlight w:val="none"/>
        </w:rPr>
        <w:t>元；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全年</w:t>
      </w:r>
      <w:r>
        <w:rPr>
          <w:rFonts w:hint="eastAsia" w:ascii="仿宋_GB2312" w:hAnsi="楷体" w:eastAsia="仿宋_GB2312"/>
          <w:sz w:val="32"/>
          <w:highlight w:val="none"/>
        </w:rPr>
        <w:t>机关事业养老保险共为6151名退休人员发放养老金35759.37万元，按时足额发放率100%。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eastAsia="zh-CN"/>
        </w:rPr>
        <w:t>绩效指标完成情况分析。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楷体" w:eastAsia="仿宋_GB2312"/>
          <w:b/>
          <w:bCs/>
          <w:sz w:val="32"/>
          <w:highlight w:val="none"/>
        </w:rPr>
      </w:pPr>
      <w:r>
        <w:rPr>
          <w:rFonts w:hint="eastAsia" w:ascii="仿宋_GB2312" w:hAnsi="楷体" w:eastAsia="仿宋_GB2312"/>
          <w:b/>
          <w:bCs/>
          <w:sz w:val="32"/>
          <w:highlight w:val="none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数量指标：机关事业养老保险退休人数目标值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不低于</w:t>
      </w:r>
      <w:bookmarkStart w:id="0" w:name="_GoBack"/>
      <w:bookmarkEnd w:id="0"/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6000</w:t>
      </w:r>
      <w:r>
        <w:rPr>
          <w:rFonts w:hint="eastAsia" w:ascii="仿宋_GB2312" w:hAnsi="楷体" w:eastAsia="仿宋_GB2312"/>
          <w:sz w:val="32"/>
          <w:highlight w:val="none"/>
        </w:rPr>
        <w:t>人，实际完成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6151</w:t>
      </w:r>
      <w:r>
        <w:rPr>
          <w:rFonts w:hint="eastAsia" w:ascii="仿宋_GB2312" w:hAnsi="楷体" w:eastAsia="仿宋_GB2312"/>
          <w:sz w:val="32"/>
          <w:highlight w:val="none"/>
        </w:rPr>
        <w:t>人，完成任务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102.5</w:t>
      </w:r>
      <w:r>
        <w:rPr>
          <w:rFonts w:hint="eastAsia" w:ascii="仿宋_GB2312" w:hAnsi="楷体" w:eastAsia="仿宋_GB2312"/>
          <w:sz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质量指标：退休人员基本养老金按时发放率指标值≥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100</w:t>
      </w:r>
      <w:r>
        <w:rPr>
          <w:rFonts w:hint="eastAsia" w:ascii="仿宋_GB2312" w:hAnsi="楷体" w:eastAsia="仿宋_GB2312"/>
          <w:sz w:val="32"/>
          <w:highlight w:val="none"/>
        </w:rPr>
        <w:t>%，实际完成值为100%；退休人员基本养老金足额发放率≥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100</w:t>
      </w:r>
      <w:r>
        <w:rPr>
          <w:rFonts w:hint="eastAsia" w:ascii="仿宋_GB2312" w:hAnsi="楷体" w:eastAsia="仿宋_GB2312"/>
          <w:sz w:val="32"/>
          <w:highlight w:val="none"/>
        </w:rPr>
        <w:t>%，实际完成值为100%。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时效指标：财政对基金的补贴拨付及时性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要求在规定时限内拨付到位</w:t>
      </w:r>
      <w:r>
        <w:rPr>
          <w:rFonts w:hint="eastAsia" w:ascii="仿宋_GB2312" w:hAnsi="楷体" w:eastAsia="仿宋_GB2312"/>
          <w:sz w:val="32"/>
          <w:highlight w:val="none"/>
        </w:rPr>
        <w:t>，实际完成值为100%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，2023年3月拨付到位3973万元，2023年10月拨付到位499.68万元</w:t>
      </w:r>
      <w:r>
        <w:rPr>
          <w:rFonts w:hint="eastAsia" w:ascii="仿宋_GB2312" w:hAnsi="楷体" w:eastAsia="仿宋_GB2312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成本指标：机关事业养老保险中央转移支付项目总成本指标值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为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4472.68万元</w:t>
      </w:r>
      <w:r>
        <w:rPr>
          <w:rFonts w:hint="eastAsia" w:ascii="仿宋_GB2312" w:hAnsi="楷体" w:eastAsia="仿宋_GB2312"/>
          <w:sz w:val="32"/>
          <w:highlight w:val="none"/>
        </w:rPr>
        <w:t>，实际完成值为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4472.68万元</w:t>
      </w:r>
      <w:r>
        <w:rPr>
          <w:rFonts w:hint="eastAsia" w:ascii="仿宋_GB2312" w:hAnsi="楷体" w:eastAsia="仿宋_GB2312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b/>
          <w:bCs/>
          <w:sz w:val="32"/>
          <w:highlight w:val="none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/>
          <w:sz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社会效益指标：机关事业养老金水平稳步提高，保障参保人员基本生活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效果显著，2023年机关事业养老保险调待支出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1029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万元，不断增强机关事业单位退休人员的获得感和满意度</w:t>
      </w:r>
      <w:r>
        <w:rPr>
          <w:rFonts w:hint="eastAsia" w:ascii="仿宋_GB2312" w:hAnsi="楷体" w:eastAsia="仿宋_GB2312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楷体" w:eastAsia="仿宋_GB2312"/>
          <w:sz w:val="32"/>
          <w:highlight w:val="none"/>
          <w:lang w:eastAsia="zh-CN"/>
        </w:rPr>
      </w:pPr>
      <w:r>
        <w:rPr>
          <w:rFonts w:hint="eastAsia" w:ascii="仿宋_GB2312" w:hAnsi="楷体" w:eastAsia="仿宋_GB2312"/>
          <w:sz w:val="32"/>
          <w:highlight w:val="none"/>
        </w:rPr>
        <w:t>可持续影响指标</w:t>
      </w:r>
      <w:r>
        <w:rPr>
          <w:rFonts w:hint="eastAsia" w:ascii="仿宋_GB2312" w:hAnsi="楷体" w:eastAsia="仿宋_GB2312"/>
          <w:sz w:val="32"/>
          <w:highlight w:val="none"/>
          <w:lang w:eastAsia="zh-CN"/>
        </w:rPr>
        <w:t>：基本养老保险制度做到长期可持续。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楷体" w:eastAsia="仿宋_GB2312"/>
          <w:b/>
          <w:bCs/>
          <w:sz w:val="32"/>
          <w:highlight w:val="none"/>
        </w:rPr>
      </w:pPr>
      <w:r>
        <w:rPr>
          <w:rFonts w:hint="eastAsia" w:ascii="仿宋_GB2312" w:hAnsi="楷体" w:eastAsia="仿宋_GB2312"/>
          <w:b/>
          <w:bCs/>
          <w:sz w:val="32"/>
          <w:highlight w:val="none"/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楷体" w:eastAsia="仿宋_GB2312"/>
          <w:sz w:val="32"/>
          <w:highlight w:val="none"/>
        </w:rPr>
        <w:t>服务对象满意度指标：参保人员满意度指标值≥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90</w:t>
      </w:r>
      <w:r>
        <w:rPr>
          <w:rFonts w:hint="eastAsia" w:ascii="仿宋_GB2312" w:hAnsi="楷体" w:eastAsia="仿宋_GB2312"/>
          <w:sz w:val="32"/>
          <w:highlight w:val="none"/>
        </w:rPr>
        <w:t>%，全年实际完成值≥</w:t>
      </w:r>
      <w:r>
        <w:rPr>
          <w:rFonts w:hint="eastAsia" w:ascii="仿宋_GB2312" w:hAnsi="楷体" w:eastAsia="仿宋_GB2312"/>
          <w:sz w:val="32"/>
          <w:highlight w:val="none"/>
          <w:lang w:val="en-US" w:eastAsia="zh-CN"/>
        </w:rPr>
        <w:t>90</w:t>
      </w:r>
      <w:r>
        <w:rPr>
          <w:rFonts w:hint="eastAsia" w:ascii="仿宋_GB2312" w:hAnsi="楷体" w:eastAsia="仿宋_GB2312"/>
          <w:sz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val="zh-CN" w:eastAsia="zh-CN"/>
        </w:rPr>
        <w:t>（一）偏离绩效目标的原因：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zh-CN"/>
        </w:rPr>
        <w:t>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/>
        </w:rPr>
        <w:t>机关事业单位养老保险基金收支矛盾突出，加之因疫情等不确定因素影响，养老保险基金压力很大。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zh-CN"/>
        </w:rPr>
        <w:t>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/>
        </w:rPr>
        <w:t>内控制度还需要进一步完善。目前制定内控制度仍需进一步健全完善，要严格执行各项规章制度，强化权力的制约和责任追究，规范业务行为，提高数据信息质量，确保养老基金的安全完整。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val="zh-CN" w:eastAsia="zh-CN"/>
        </w:rPr>
        <w:t>（二）下一步改进措施：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zh-CN"/>
        </w:rPr>
        <w:t>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以“人”为核心，量质并重推进全民参保计划，健全参保登记常态化工作机制和精准扩面长效机制。做好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机关事业单位养老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保险基金预决算工作，确保养老保险待遇按时足额发放，积极落实机关事业单位退休人员基本养老金调整工作。立足实际认真做好全国统筹的落实工作，完善有关政策衔接，妥善处理相关问题。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/>
        </w:rPr>
        <w:t>严格执行社保基金风险防控相关法规，进一步完善内控制度，实现社保基金管理工作的规范化、标准化和科学化。同时加大社保基金风险防控宣传教育力度。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将对绩效自评中发现的问题认真分析、整改落实，不断提高转移支付资金使用效益。并严格按照相关工作要求对绩效自评结果进行公开。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转移支付区域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AF7EA9"/>
    <w:multiLevelType w:val="singleLevel"/>
    <w:tmpl w:val="AAAF7E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1A72AD"/>
    <w:multiLevelType w:val="singleLevel"/>
    <w:tmpl w:val="061A72AD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kMTgwYzE0MTg0ZDlkYzAxY2IyNDA1NDJjM2UzMDAifQ=="/>
  </w:docVars>
  <w:rsids>
    <w:rsidRoot w:val="00000000"/>
    <w:rsid w:val="083038EB"/>
    <w:rsid w:val="153C7CE5"/>
    <w:rsid w:val="1F8038FE"/>
    <w:rsid w:val="290A0F40"/>
    <w:rsid w:val="2F660D46"/>
    <w:rsid w:val="3B576FD4"/>
    <w:rsid w:val="3D6F0556"/>
    <w:rsid w:val="3FCC76E3"/>
    <w:rsid w:val="41423D47"/>
    <w:rsid w:val="417A5E21"/>
    <w:rsid w:val="4877669D"/>
    <w:rsid w:val="4CDC2237"/>
    <w:rsid w:val="50447FC0"/>
    <w:rsid w:val="53A56FC8"/>
    <w:rsid w:val="5EF91059"/>
    <w:rsid w:val="65790381"/>
    <w:rsid w:val="6D5C5374"/>
    <w:rsid w:val="74913239"/>
    <w:rsid w:val="75504AD8"/>
    <w:rsid w:val="7756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411</Characters>
  <Lines>0</Lines>
  <Paragraphs>0</Paragraphs>
  <TotalTime>2</TotalTime>
  <ScaleCrop>false</ScaleCrop>
  <LinksUpToDate>false</LinksUpToDate>
  <CharactersWithSpaces>412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2024-03-20T07:37:56Z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ACC7473D2FAA4997BF597A34104C1E5A_13</vt:lpwstr>
  </property>
</Properties>
</file>