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歙县就业补助资金转移支付2023年度绩效自评报告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1、就业补助资金指标下达情况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《关于提前下达2023年中央财政就业补助资金预算的通知》（皖财社〔2023〕1351号）、《关于下达2023年中央财政就业补助资金预算的通知》（皖财社〔2023〕650号）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2023年我县中央下达就业补助资金1170万元，省级资金100万元、县级资金330.38万元，全年就业补助资金收入1600.38万元。</w:t>
      </w:r>
      <w:bookmarkStart w:id="0" w:name="_GoBack"/>
      <w:bookmarkEnd w:id="0"/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2、就业补助资金绩效目标任务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面落实中央及省级关于稳就业工作部署，以优质服务助推就业创业工作开展，千方百计促进和扩大就业，保持就业局势长期稳定，落实更加积极的就业政策，围绕就业困难人员、高校毕业生等重点人群开展就业创业帮扶工作，努力推进更加充分和更高质量就业，确保就业局势总体稳定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2023年就业补助资金收入共1600.38万元，其中：中央补助资金收入1170万元，省级补助资金收入100万元，县级补助资金收入330.38万元。 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就业补助资金共计支出1509.78万元，其中：就业创业服务补助285万元、职业培训补贴304.32万元、社会保险补贴329.95万元（其中公益性岗位19.95万元、灵活就业298.74万元、高校毕业生2.4万元、员工制家庭服务业8.86万元），公益性岗位补贴29.88万元、职业技能鉴定补贴4.1万元、就业见习补贴176.26万元、高校毕业生基层特定岗位补助264.54万元、就业脱贫工程0.64万元、一次性创业补贴7万元、一次性就业补贴11.7万元、求职创业补贴12.15万元、社会资本孵化基地补贴5万元、中小微企业新增就业补贴56.24万元、校企定制奖补资金23万元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（二）资金管理情况分析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就业补助资金由歙县人社局财务股实行财政专户管理，就业部门根据工作开展进度，填报资金使用计划申请表，向财政部门申请拨入资金，实行专款、专账、专户管理；按规定配备会计和出纳岗位，设置会计账簿，建立总账、各项明细账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根据科目进行核算</w:t>
      </w:r>
      <w:r>
        <w:rPr>
          <w:rFonts w:hint="eastAsia" w:ascii="仿宋_GB2312" w:hAnsi="仿宋_GB2312" w:eastAsia="仿宋_GB2312" w:cs="仿宋_GB2312"/>
          <w:sz w:val="32"/>
          <w:szCs w:val="32"/>
        </w:rPr>
        <w:t>；对岗位设置、经办业务流程、操作权限、审批制度等进行严格管理；制定了就业补助资金拨付公示、支出报告、资金使用跟踪反馈等制度，确保了资金安全、合理、有效使用。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（三）总体绩效目标完成情况分析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hint="eastAsia" w:ascii="仿宋_GB2312" w:eastAsia="仿宋_GB2312"/>
          <w:sz w:val="32"/>
          <w:szCs w:val="32"/>
          <w:highlight w:val="none"/>
        </w:rPr>
        <w:t>县</w:t>
      </w:r>
      <w:r>
        <w:rPr>
          <w:rFonts w:hint="eastAsia" w:ascii="仿宋_GB2312" w:hAnsi="仿宋_GB2312" w:eastAsia="仿宋_GB2312" w:cs="仿宋_GB2312"/>
          <w:sz w:val="32"/>
          <w:szCs w:val="40"/>
        </w:rPr>
        <w:t>紧抓招聘平台搭建力促人岗“双向奔赴”。多维宣传，县乡村三级人社服务专员将17.8万份</w:t>
      </w:r>
      <w:r>
        <w:rPr>
          <w:rFonts w:hint="eastAsia" w:ascii="仿宋_GB2312" w:eastAsia="仿宋_GB2312"/>
          <w:sz w:val="32"/>
          <w:szCs w:val="44"/>
        </w:rPr>
        <w:t>就业政策年画发送千家万户，涵盖20余家重点企业招聘信息，实景拍摄万邦电子、鑫联精工等重点企业招聘微视频，扩大招聘信息覆盖面。</w:t>
      </w:r>
      <w:r>
        <w:rPr>
          <w:rFonts w:hint="eastAsia" w:ascii="仿宋_GB2312" w:hAnsi="仿宋_GB2312" w:eastAsia="仿宋_GB2312" w:cs="仿宋_GB2312"/>
          <w:sz w:val="32"/>
          <w:szCs w:val="32"/>
        </w:rPr>
        <w:t>高频搭台，春风行动期间在经开区、颐高广场、张曙音乐广场等多地联动举办大型招聘会，同步开辟线上直播专区，夏季</w:t>
      </w:r>
      <w:r>
        <w:rPr>
          <w:rFonts w:hint="eastAsia" w:ascii="仿宋_GB2312" w:hAnsi="仿宋_GB2312" w:eastAsia="仿宋_GB2312" w:cs="仿宋_GB2312"/>
          <w:sz w:val="32"/>
          <w:szCs w:val="40"/>
        </w:rPr>
        <w:t>举办“古城夜市”招聘活动，累计举办各类招聘活动462场次，实现城镇新增就业5700人。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落实实名制就业帮扶机制，县乡就业服务专员通过电话、入户等方式开展政策解读、职业指导、岗位推荐等</w:t>
      </w:r>
      <w:r>
        <w:rPr>
          <w:rFonts w:hint="eastAsia" w:ascii="仿宋_GB2312" w:eastAsia="仿宋_GB2312"/>
          <w:sz w:val="32"/>
          <w:szCs w:val="32"/>
        </w:rPr>
        <w:t>针对性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帮扶，</w:t>
      </w:r>
      <w:r>
        <w:rPr>
          <w:rFonts w:hint="eastAsia" w:ascii="仿宋_GB2312" w:eastAsia="仿宋_GB2312"/>
          <w:sz w:val="32"/>
          <w:szCs w:val="32"/>
        </w:rPr>
        <w:t>完善“一人一档”帮扶档案，</w:t>
      </w:r>
      <w:r>
        <w:rPr>
          <w:rFonts w:hint="eastAsia" w:ascii="仿宋_GB2312" w:hAnsi="楷体" w:eastAsia="仿宋_GB2312"/>
          <w:sz w:val="32"/>
        </w:rPr>
        <w:t>实现失业人员帮扶再就业1254人、就业援助对象帮扶再就业365人、695名高校毕业生就业帮扶率100%、脱贫人口及监测对象务工就业18893人；打造高校毕业生“暖心助航 畅业歙县”品牌，通过“扩岗+招引+留稳”方式优化高校毕业生就业环境，《歙县“暖心服务法”促高校毕业生“好就业”》、《歙县当好“三员”助力青年“就”在徽州》典型案例被省民生工程网站采用。夯实岗位开发安置，面向企业开发青年就业见习岗位288个，推荐到岗高校毕业生166人，开发公益性岗位453个，安置就业困难人员、脱贫户228人。精准帮扶退捕渔民转产就业，实现就业769人，转产安置率100%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兑现退捕渔民就业扶持政策补贴7.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万元，惠及退捕渔民50人，发放创业担保贷款10人251万元；开展技能培训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413人，发放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培训补贴和个人生活费补贴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34.65万元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40"/>
        </w:rPr>
        <w:t>丰富创业培训形式，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举办SYB创业培训班8期</w:t>
      </w:r>
      <w:r>
        <w:rPr>
          <w:rFonts w:hint="eastAsia" w:ascii="仿宋_GB2312" w:hAnsi="仿宋_GB2312" w:eastAsia="仿宋_GB2312" w:cs="仿宋_GB2312"/>
          <w:sz w:val="32"/>
          <w:szCs w:val="40"/>
        </w:rPr>
        <w:t>240人，</w:t>
      </w:r>
      <w:r>
        <w:rPr>
          <w:rFonts w:hint="eastAsia" w:ascii="仿宋_GB2312" w:hAnsi="仿宋_GB2312" w:eastAsia="仿宋_GB2312" w:cs="仿宋_GB2312"/>
          <w:bCs/>
          <w:sz w:val="32"/>
          <w:szCs w:val="40"/>
        </w:rPr>
        <w:t>举办“筑梦徽州 ‘歙’响未来”短视频直播创业特训营，围绕抖音账号运营、短视频拍摄剪辑、直播带货、网络创业等核心内容，采用项目回访、线上交流、资源对接、跟踪指导等方式全流程陪跑服务35名乡村创业者，培养优秀乡村新农人，累计12名学员注册营业执照。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开展“源来好创业”青年创业资源对接服务活动，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为40余名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青年创业者详解创业担保贷款等创业扶持政策和举措，鼓励各青年创客促进乡村振兴。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强化金融支持力度，</w:t>
      </w:r>
      <w:r>
        <w:rPr>
          <w:rFonts w:hint="eastAsia" w:ascii="仿宋_GB2312" w:hAnsi="仿宋_GB2312" w:eastAsia="仿宋_GB2312" w:cs="仿宋_GB2312"/>
          <w:sz w:val="32"/>
          <w:szCs w:val="40"/>
        </w:rPr>
        <w:t>新增普惠小微企业贷款8.89亿元、天使投资0.2亿元，发放创业担保贷款2.1亿元（含助业贷），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畅通创业多元融资渠道。</w:t>
      </w:r>
    </w:p>
    <w:p>
      <w:pPr>
        <w:spacing w:line="560" w:lineRule="exact"/>
        <w:ind w:firstLine="321" w:firstLineChars="100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（四）绩效指标完成情况分析</w:t>
      </w:r>
    </w:p>
    <w:p>
      <w:pPr>
        <w:spacing w:line="560" w:lineRule="exact"/>
        <w:ind w:firstLine="643" w:firstLineChars="200"/>
        <w:rPr>
          <w:rFonts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1、产出指标完成情况分析</w:t>
      </w:r>
    </w:p>
    <w:p>
      <w:pPr>
        <w:spacing w:line="560" w:lineRule="exact"/>
        <w:ind w:firstLine="640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数量指标：城镇新增就业人数目标值3800人，实际完成5280人，完成任务166.24%；失业人员再就业人数目标值1060人，实际完成1254人，完成任务118.30%；就业困难人员就业人数目标值280人，实际完成365人，完成任务130.36%。</w:t>
      </w:r>
    </w:p>
    <w:p>
      <w:pPr>
        <w:spacing w:line="560" w:lineRule="exact"/>
        <w:ind w:firstLine="640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质量指标：社会保险补贴发放准确率年度指标值≥98%，实际完成值为100%；就业见习补贴发放准确率年度指标值≥98%，实际完成值为100%；公益性岗位补贴发放准确率年度指标值≥98%，实际完成值为100%。</w:t>
      </w:r>
    </w:p>
    <w:p>
      <w:pPr>
        <w:spacing w:line="560" w:lineRule="exact"/>
        <w:ind w:firstLine="640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时效指标：资金在规定时间内下达率年度指标值≥98%，实际完成值为100%。</w:t>
      </w:r>
    </w:p>
    <w:p>
      <w:pPr>
        <w:spacing w:line="560" w:lineRule="exact"/>
        <w:ind w:firstLine="640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成本指标：职业培训补贴和职业鉴定补贴根据不同的培训工种，按标准发放补贴金额，社会保险补贴根据不同缴费情况，按规定标准发放补贴金额，公益性岗位补贴按照不高于最低工资标准发放。</w:t>
      </w:r>
    </w:p>
    <w:p>
      <w:pPr>
        <w:spacing w:line="560" w:lineRule="exact"/>
        <w:ind w:firstLine="643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2、效益指标完成情况分析</w:t>
      </w:r>
    </w:p>
    <w:p>
      <w:pPr>
        <w:spacing w:line="560" w:lineRule="exact"/>
        <w:ind w:firstLine="640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社会效益指标：零就业家庭帮扶率指标值≥95%，全年实际完成值100%;因就业问题发生重大群体性的事件数量指标值≤1起，全年实际发生0起。</w:t>
      </w:r>
    </w:p>
    <w:p>
      <w:pPr>
        <w:spacing w:line="560" w:lineRule="exact"/>
        <w:ind w:firstLine="643" w:firstLineChars="200"/>
        <w:rPr>
          <w:rFonts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3、满意度指标完成情况分析</w:t>
      </w:r>
    </w:p>
    <w:p>
      <w:pPr>
        <w:spacing w:line="560" w:lineRule="exact"/>
        <w:ind w:firstLine="640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服务对象满意度指标：受益对象满意度指标值≥85%，全年实际完成值95%。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spacing w:line="560" w:lineRule="exact"/>
        <w:ind w:firstLine="640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影响就业资金总体绩效目标和绩效指标的原因主要体现表现在：受全球经济环境影响，部分企业生产经营困难增多，影响就业的不稳定、不确定因素增加，稳就业面临挑战；综合考虑全县就业创业各项目标任务，对就业资金的需求进一步加大，资金收支结构不平衡。</w:t>
      </w:r>
    </w:p>
    <w:p>
      <w:pPr>
        <w:spacing w:line="560" w:lineRule="exact"/>
        <w:ind w:firstLine="640" w:firstLineChars="200"/>
        <w:rPr>
          <w:rFonts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改进措施：进一步加强与省人社厅的联系和沟通，积极争取省级就业资金支持；强化专项资金预算管理，从源头上控制预算，按规定用途安排支出，加快支出进度，减少资金沉淀，提高资金使用效益。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一是及时整理、归纳、分析了绩效评价结果，作为今后改进预算管理的重要依据。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二是根据绩效评价结果，进一步加强管理措施，完善管理办法，调整和优化支出结构，充分发挥就业补助资金在保障就业、改善民生方面的重要作用。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三是将按照政府信息公开有关规定在一定范围内公开绩效评价结果。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六、附件</w:t>
      </w:r>
    </w:p>
    <w:p>
      <w:pPr>
        <w:spacing w:line="560" w:lineRule="exact"/>
        <w:ind w:firstLine="640" w:firstLineChars="20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转移支付区域（项目）绩效目标自评表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Y4NDdhODdlM2YzOGM5MTQ0YzM1YmViMmVkMDhmYzUifQ=="/>
  </w:docVars>
  <w:rsids>
    <w:rsidRoot w:val="006667A7"/>
    <w:rsid w:val="000F5D96"/>
    <w:rsid w:val="00116F4F"/>
    <w:rsid w:val="001C1801"/>
    <w:rsid w:val="00352525"/>
    <w:rsid w:val="005538CB"/>
    <w:rsid w:val="006667A7"/>
    <w:rsid w:val="007D6445"/>
    <w:rsid w:val="00E46280"/>
    <w:rsid w:val="015E5C86"/>
    <w:rsid w:val="02CC376C"/>
    <w:rsid w:val="05141EB3"/>
    <w:rsid w:val="06B678C4"/>
    <w:rsid w:val="083038EB"/>
    <w:rsid w:val="0BE856C8"/>
    <w:rsid w:val="0D1A5D55"/>
    <w:rsid w:val="1143119C"/>
    <w:rsid w:val="123A74FE"/>
    <w:rsid w:val="17402297"/>
    <w:rsid w:val="195F49ED"/>
    <w:rsid w:val="1EAD7B4A"/>
    <w:rsid w:val="1F8038FE"/>
    <w:rsid w:val="20124FB2"/>
    <w:rsid w:val="227447BA"/>
    <w:rsid w:val="290A0F40"/>
    <w:rsid w:val="29F03995"/>
    <w:rsid w:val="2BCE3430"/>
    <w:rsid w:val="2CED0939"/>
    <w:rsid w:val="2D687CF6"/>
    <w:rsid w:val="2F660D46"/>
    <w:rsid w:val="2FD335F3"/>
    <w:rsid w:val="385D25BA"/>
    <w:rsid w:val="3B576FD4"/>
    <w:rsid w:val="3C595371"/>
    <w:rsid w:val="3FCC76E3"/>
    <w:rsid w:val="428E0F01"/>
    <w:rsid w:val="45806691"/>
    <w:rsid w:val="479D49F1"/>
    <w:rsid w:val="4877669D"/>
    <w:rsid w:val="50447FC0"/>
    <w:rsid w:val="51B7683E"/>
    <w:rsid w:val="51C656FD"/>
    <w:rsid w:val="536039D3"/>
    <w:rsid w:val="53A56FC8"/>
    <w:rsid w:val="540E1011"/>
    <w:rsid w:val="54D20FE8"/>
    <w:rsid w:val="54FE330D"/>
    <w:rsid w:val="5519761B"/>
    <w:rsid w:val="56B93912"/>
    <w:rsid w:val="59324877"/>
    <w:rsid w:val="5A160621"/>
    <w:rsid w:val="5EF91059"/>
    <w:rsid w:val="5F9E7193"/>
    <w:rsid w:val="661F7825"/>
    <w:rsid w:val="66486B19"/>
    <w:rsid w:val="68AA1941"/>
    <w:rsid w:val="6B0E37A9"/>
    <w:rsid w:val="6D5C5374"/>
    <w:rsid w:val="6D9240B6"/>
    <w:rsid w:val="6F377216"/>
    <w:rsid w:val="6FEE1FCA"/>
    <w:rsid w:val="700C7EB2"/>
    <w:rsid w:val="74913239"/>
    <w:rsid w:val="75504AD8"/>
    <w:rsid w:val="7578190E"/>
    <w:rsid w:val="7756518C"/>
    <w:rsid w:val="7AF87DE0"/>
    <w:rsid w:val="7BA50A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415</Words>
  <Characters>2372</Characters>
  <Lines>19</Lines>
  <Paragraphs>5</Paragraphs>
  <TotalTime>69</TotalTime>
  <ScaleCrop>false</ScaleCrop>
  <LinksUpToDate>false</LinksUpToDate>
  <CharactersWithSpaces>2782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花落醉相偎</cp:lastModifiedBy>
  <dcterms:modified xsi:type="dcterms:W3CDTF">2024-03-14T02:33:16Z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9C491AE83A404D9EB45F72BCF8C8C51C</vt:lpwstr>
  </property>
</Properties>
</file>