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6E812">
      <w:pPr>
        <w:adjustRightInd w:val="0"/>
        <w:snapToGrid w:val="0"/>
        <w:spacing w:line="360" w:lineRule="auto"/>
        <w:jc w:val="center"/>
        <w:rPr>
          <w:b/>
          <w:sz w:val="44"/>
          <w:szCs w:val="44"/>
          <w:u w:val="single"/>
        </w:rPr>
      </w:pPr>
    </w:p>
    <w:p w14:paraId="200D6DB0">
      <w:pPr>
        <w:adjustRightInd w:val="0"/>
        <w:snapToGrid w:val="0"/>
        <w:spacing w:line="360" w:lineRule="auto"/>
        <w:rPr>
          <w:b/>
          <w:sz w:val="44"/>
          <w:szCs w:val="44"/>
          <w:u w:val="single"/>
        </w:rPr>
      </w:pPr>
    </w:p>
    <w:p w14:paraId="40774782">
      <w:pPr>
        <w:pStyle w:val="3"/>
        <w:widowControl/>
        <w:shd w:val="clear" w:color="auto" w:fill="FFFFFF"/>
        <w:spacing w:before="0" w:beforeAutospacing="0" w:after="0" w:afterAutospacing="0" w:line="675" w:lineRule="atLeast"/>
        <w:jc w:val="center"/>
        <w:rPr>
          <w:rFonts w:hint="default"/>
          <w:bCs/>
          <w:sz w:val="44"/>
          <w:szCs w:val="44"/>
          <w:shd w:val="clear" w:color="auto" w:fill="FFFFFF"/>
        </w:rPr>
      </w:pPr>
      <w:r>
        <w:rPr>
          <w:rFonts w:hint="eastAsia"/>
          <w:bCs/>
          <w:sz w:val="44"/>
          <w:szCs w:val="44"/>
          <w:shd w:val="clear" w:color="auto" w:fill="FFFFFF"/>
          <w:lang w:eastAsia="zh-CN"/>
        </w:rPr>
        <w:t>歙县</w:t>
      </w:r>
      <w:r>
        <w:rPr>
          <w:rFonts w:hint="eastAsia"/>
          <w:bCs/>
          <w:sz w:val="44"/>
          <w:szCs w:val="44"/>
          <w:shd w:val="clear" w:color="auto" w:fill="FFFFFF"/>
          <w:lang w:val="en-US" w:eastAsia="zh-CN"/>
        </w:rPr>
        <w:t>长陔乡人民政府</w:t>
      </w:r>
      <w:r>
        <w:rPr>
          <w:rFonts w:hint="eastAsia"/>
          <w:bCs/>
          <w:sz w:val="44"/>
          <w:szCs w:val="44"/>
          <w:shd w:val="clear" w:color="auto" w:fill="FFFFFF"/>
          <w:lang w:val="en" w:eastAsia="zh-CN"/>
        </w:rPr>
        <w:t>2026年</w:t>
      </w:r>
      <w:r>
        <w:rPr>
          <w:rFonts w:hint="default"/>
          <w:bCs/>
          <w:sz w:val="44"/>
          <w:szCs w:val="44"/>
          <w:shd w:val="clear" w:color="auto" w:fill="FFFFFF"/>
        </w:rPr>
        <w:t>部门预算</w:t>
      </w:r>
    </w:p>
    <w:p w14:paraId="6EC3812F">
      <w:pPr>
        <w:rPr>
          <w:rFonts w:eastAsia="微软雅黑"/>
          <w:b/>
          <w:sz w:val="45"/>
          <w:szCs w:val="45"/>
          <w:shd w:val="clear" w:color="auto" w:fill="FFFFFF"/>
        </w:rPr>
      </w:pPr>
    </w:p>
    <w:p w14:paraId="35FDCB5C">
      <w:pPr>
        <w:rPr>
          <w:rFonts w:eastAsia="微软雅黑"/>
          <w:b/>
          <w:sz w:val="45"/>
          <w:szCs w:val="45"/>
          <w:shd w:val="clear" w:color="auto" w:fill="FFFFFF"/>
        </w:rPr>
      </w:pPr>
    </w:p>
    <w:p w14:paraId="3DE812DC">
      <w:pPr>
        <w:rPr>
          <w:rFonts w:eastAsia="微软雅黑"/>
          <w:b/>
          <w:sz w:val="45"/>
          <w:szCs w:val="45"/>
          <w:shd w:val="clear" w:color="auto" w:fill="FFFFFF"/>
        </w:rPr>
      </w:pPr>
    </w:p>
    <w:p w14:paraId="7A4B7B37">
      <w:pPr>
        <w:rPr>
          <w:rFonts w:eastAsia="微软雅黑"/>
          <w:b/>
          <w:sz w:val="45"/>
          <w:szCs w:val="45"/>
          <w:shd w:val="clear" w:color="auto" w:fill="FFFFFF"/>
        </w:rPr>
      </w:pPr>
    </w:p>
    <w:p w14:paraId="7CC87380">
      <w:pPr>
        <w:rPr>
          <w:rFonts w:eastAsia="微软雅黑"/>
          <w:b/>
          <w:sz w:val="45"/>
          <w:szCs w:val="45"/>
          <w:shd w:val="clear" w:color="auto" w:fill="FFFFFF"/>
        </w:rPr>
      </w:pPr>
    </w:p>
    <w:p w14:paraId="6EB767D1">
      <w:pPr>
        <w:rPr>
          <w:rFonts w:eastAsia="微软雅黑"/>
          <w:b/>
          <w:sz w:val="45"/>
          <w:szCs w:val="45"/>
          <w:shd w:val="clear" w:color="auto" w:fill="FFFFFF"/>
        </w:rPr>
      </w:pPr>
    </w:p>
    <w:p w14:paraId="0F69F928">
      <w:pPr>
        <w:rPr>
          <w:rFonts w:eastAsia="微软雅黑"/>
          <w:b/>
          <w:sz w:val="45"/>
          <w:szCs w:val="45"/>
          <w:shd w:val="clear" w:color="auto" w:fill="FFFFFF"/>
        </w:rPr>
      </w:pPr>
    </w:p>
    <w:p w14:paraId="4C244009">
      <w:pPr>
        <w:rPr>
          <w:rFonts w:eastAsia="微软雅黑"/>
          <w:b/>
          <w:sz w:val="45"/>
          <w:szCs w:val="45"/>
          <w:shd w:val="clear" w:color="auto" w:fill="FFFFFF"/>
        </w:rPr>
      </w:pPr>
    </w:p>
    <w:p w14:paraId="10FEDED9">
      <w:pPr>
        <w:jc w:val="center"/>
        <w:rPr>
          <w:bCs/>
          <w:sz w:val="36"/>
          <w:szCs w:val="36"/>
          <w:shd w:val="clear" w:color="auto" w:fill="FFFFFF"/>
        </w:rPr>
      </w:pPr>
      <w:r>
        <w:rPr>
          <w:rFonts w:hint="eastAsia"/>
          <w:bCs/>
          <w:sz w:val="36"/>
          <w:szCs w:val="36"/>
          <w:shd w:val="clear" w:color="auto" w:fill="FFFFFF"/>
          <w:lang w:val="en" w:eastAsia="zh-CN"/>
        </w:rPr>
        <w:t>2026年</w:t>
      </w:r>
      <w:r>
        <w:rPr>
          <w:bCs/>
          <w:sz w:val="36"/>
          <w:szCs w:val="36"/>
          <w:shd w:val="clear" w:color="auto" w:fill="FFFFFF"/>
        </w:rPr>
        <w:t>2月</w:t>
      </w:r>
    </w:p>
    <w:p w14:paraId="49FAA056">
      <w:pPr>
        <w:rPr>
          <w:rFonts w:eastAsia="微软雅黑"/>
          <w:b/>
          <w:sz w:val="45"/>
          <w:szCs w:val="45"/>
          <w:shd w:val="clear" w:color="auto" w:fill="FFFFFF"/>
        </w:rPr>
      </w:pPr>
    </w:p>
    <w:p w14:paraId="7A6B21A9">
      <w:pPr>
        <w:pStyle w:val="6"/>
        <w:spacing w:before="0" w:beforeAutospacing="0" w:after="0" w:afterAutospacing="0" w:line="435" w:lineRule="atLeast"/>
        <w:jc w:val="both"/>
        <w:rPr>
          <w:rFonts w:ascii="Times New Roman" w:hAnsi="Times New Roman" w:eastAsia="方正小标宋简体" w:cs="Times New Roman"/>
          <w:sz w:val="43"/>
          <w:szCs w:val="43"/>
          <w:shd w:val="clear" w:color="auto" w:fill="FFFFFF"/>
        </w:rPr>
      </w:pPr>
    </w:p>
    <w:p w14:paraId="41E6A1F7">
      <w:pPr>
        <w:pStyle w:val="6"/>
        <w:spacing w:before="0" w:beforeAutospacing="0" w:after="0" w:afterAutospacing="0" w:line="435" w:lineRule="atLeast"/>
        <w:jc w:val="both"/>
        <w:rPr>
          <w:rFonts w:ascii="Times New Roman" w:hAnsi="Times New Roman" w:eastAsia="方正小标宋简体" w:cs="Times New Roman"/>
          <w:sz w:val="43"/>
          <w:szCs w:val="43"/>
          <w:shd w:val="clear" w:color="auto" w:fill="FFFFFF"/>
        </w:rPr>
      </w:pPr>
    </w:p>
    <w:p w14:paraId="194E8DF3">
      <w:pPr>
        <w:pStyle w:val="6"/>
        <w:adjustRightInd w:val="0"/>
        <w:snapToGrid w:val="0"/>
        <w:spacing w:before="0" w:beforeAutospacing="0" w:after="0" w:afterAutospacing="0" w:line="360" w:lineRule="auto"/>
        <w:jc w:val="center"/>
        <w:rPr>
          <w:rFonts w:ascii="Times New Roman" w:hAnsi="Times New Roman" w:eastAsia="黑体" w:cs="Times New Roman"/>
          <w:bCs/>
          <w:sz w:val="36"/>
          <w:szCs w:val="36"/>
        </w:rPr>
      </w:pPr>
    </w:p>
    <w:p w14:paraId="3F596AE2">
      <w:pPr>
        <w:pStyle w:val="6"/>
        <w:adjustRightInd w:val="0"/>
        <w:snapToGrid w:val="0"/>
        <w:spacing w:before="0" w:beforeAutospacing="0" w:after="0" w:afterAutospacing="0" w:line="360" w:lineRule="auto"/>
        <w:jc w:val="center"/>
        <w:rPr>
          <w:rFonts w:ascii="Times New Roman" w:hAnsi="Times New Roman" w:eastAsia="黑体" w:cs="Times New Roman"/>
          <w:bCs/>
          <w:sz w:val="36"/>
          <w:szCs w:val="36"/>
        </w:rPr>
      </w:pPr>
    </w:p>
    <w:p w14:paraId="38269976">
      <w:pPr>
        <w:pStyle w:val="6"/>
        <w:adjustRightInd w:val="0"/>
        <w:snapToGrid w:val="0"/>
        <w:spacing w:before="0" w:beforeAutospacing="0" w:after="0" w:afterAutospacing="0" w:line="360" w:lineRule="auto"/>
        <w:jc w:val="center"/>
        <w:rPr>
          <w:rFonts w:ascii="Times New Roman" w:hAnsi="Times New Roman" w:eastAsia="黑体" w:cs="Times New Roman"/>
          <w:bCs/>
          <w:sz w:val="36"/>
          <w:szCs w:val="36"/>
        </w:rPr>
      </w:pPr>
    </w:p>
    <w:p w14:paraId="47C1009E">
      <w:pPr>
        <w:pStyle w:val="6"/>
        <w:adjustRightInd w:val="0"/>
        <w:snapToGrid w:val="0"/>
        <w:spacing w:before="0" w:beforeAutospacing="0" w:after="0" w:afterAutospacing="0" w:line="360" w:lineRule="auto"/>
        <w:jc w:val="center"/>
        <w:rPr>
          <w:rFonts w:ascii="Times New Roman" w:hAnsi="Times New Roman" w:eastAsia="黑体" w:cs="Times New Roman"/>
          <w:bCs/>
          <w:sz w:val="36"/>
          <w:szCs w:val="36"/>
        </w:rPr>
      </w:pPr>
    </w:p>
    <w:p w14:paraId="1F037E1C">
      <w:pPr>
        <w:pStyle w:val="6"/>
        <w:adjustRightInd w:val="0"/>
        <w:snapToGrid w:val="0"/>
        <w:spacing w:before="0" w:beforeAutospacing="0" w:after="0" w:afterAutospacing="0" w:line="360" w:lineRule="auto"/>
        <w:jc w:val="center"/>
        <w:rPr>
          <w:rFonts w:ascii="Times New Roman" w:hAnsi="Times New Roman" w:eastAsia="黑体" w:cs="Times New Roman"/>
          <w:bCs/>
          <w:sz w:val="36"/>
          <w:szCs w:val="36"/>
        </w:rPr>
      </w:pPr>
    </w:p>
    <w:p w14:paraId="58332376">
      <w:pPr>
        <w:pStyle w:val="6"/>
        <w:adjustRightInd w:val="0"/>
        <w:snapToGrid w:val="0"/>
        <w:spacing w:before="0" w:beforeAutospacing="0" w:after="0" w:afterAutospacing="0" w:line="360" w:lineRule="auto"/>
        <w:jc w:val="both"/>
        <w:rPr>
          <w:rFonts w:ascii="Times New Roman" w:hAnsi="Times New Roman" w:eastAsia="黑体" w:cs="Times New Roman"/>
          <w:bCs/>
          <w:sz w:val="36"/>
          <w:szCs w:val="36"/>
        </w:rPr>
      </w:pPr>
    </w:p>
    <w:p w14:paraId="5D63FCE7">
      <w:pPr>
        <w:pStyle w:val="6"/>
        <w:spacing w:before="0" w:beforeAutospacing="0" w:after="0" w:afterAutospacing="0" w:line="435" w:lineRule="atLeast"/>
        <w:ind w:firstLine="3870" w:firstLineChars="900"/>
        <w:jc w:val="both"/>
        <w:rPr>
          <w:rFonts w:ascii="Times New Roman" w:hAnsi="Times New Roman" w:cs="Times New Roman"/>
        </w:rPr>
      </w:pPr>
      <w:r>
        <w:rPr>
          <w:rFonts w:ascii="Times New Roman" w:hAnsi="Times New Roman" w:eastAsia="方正小标宋简体" w:cs="Times New Roman"/>
          <w:sz w:val="43"/>
          <w:szCs w:val="43"/>
          <w:shd w:val="clear" w:color="auto" w:fill="FFFFFF"/>
        </w:rPr>
        <w:t>目    录</w:t>
      </w:r>
    </w:p>
    <w:p w14:paraId="51C0CCC6">
      <w:pPr>
        <w:pStyle w:val="6"/>
        <w:spacing w:before="150" w:beforeAutospacing="0" w:after="0" w:afterAutospacing="0" w:line="560" w:lineRule="exact"/>
        <w:ind w:firstLine="643" w:firstLineChars="200"/>
        <w:rPr>
          <w:rFonts w:hint="eastAsia" w:ascii="仿宋_GB2312" w:hAnsi="Times New Roman" w:eastAsia="仿宋_GB2312" w:cs="Times New Roman"/>
          <w:sz w:val="32"/>
          <w:szCs w:val="32"/>
        </w:rPr>
      </w:pPr>
      <w:r>
        <w:rPr>
          <w:rStyle w:val="9"/>
          <w:rFonts w:hint="eastAsia" w:ascii="仿宋_GB2312" w:hAnsi="Times New Roman" w:eastAsia="仿宋_GB2312" w:cs="Times New Roman"/>
          <w:sz w:val="32"/>
          <w:szCs w:val="32"/>
          <w:shd w:val="clear" w:color="auto" w:fill="FFFFFF"/>
        </w:rPr>
        <w:t xml:space="preserve">第一部分 </w:t>
      </w:r>
      <w:r>
        <w:rPr>
          <w:rStyle w:val="9"/>
          <w:rFonts w:hint="eastAsia" w:ascii="仿宋_GB2312" w:hAnsi="Times New Roman" w:eastAsia="仿宋_GB2312" w:cs="Times New Roman"/>
          <w:sz w:val="32"/>
          <w:szCs w:val="32"/>
          <w:shd w:val="clear" w:color="auto" w:fill="FFFFFF"/>
          <w:lang w:val="en-US" w:eastAsia="zh-CN"/>
        </w:rPr>
        <w:t>部门</w:t>
      </w:r>
      <w:r>
        <w:rPr>
          <w:rStyle w:val="9"/>
          <w:rFonts w:hint="eastAsia" w:ascii="仿宋_GB2312" w:hAnsi="Times New Roman" w:eastAsia="仿宋_GB2312" w:cs="Times New Roman"/>
          <w:sz w:val="32"/>
          <w:szCs w:val="32"/>
          <w:shd w:val="clear" w:color="auto" w:fill="FFFFFF"/>
        </w:rPr>
        <w:t>概况</w:t>
      </w:r>
    </w:p>
    <w:p w14:paraId="0DBD9E0F">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1.主要职责</w:t>
      </w:r>
    </w:p>
    <w:p w14:paraId="3F03CB12">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2.部门预算单位构成</w:t>
      </w:r>
    </w:p>
    <w:p w14:paraId="078F5EB9">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3.</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度主要工作任务</w:t>
      </w:r>
    </w:p>
    <w:p w14:paraId="2789BE63">
      <w:pPr>
        <w:pStyle w:val="6"/>
        <w:spacing w:before="0" w:beforeAutospacing="0" w:after="0" w:afterAutospacing="0" w:line="560" w:lineRule="exact"/>
        <w:ind w:firstLine="643" w:firstLineChars="200"/>
        <w:rPr>
          <w:rFonts w:hint="eastAsia" w:ascii="仿宋_GB2312" w:hAnsi="Times New Roman" w:eastAsia="仿宋_GB2312" w:cs="Times New Roman"/>
          <w:sz w:val="32"/>
          <w:szCs w:val="32"/>
        </w:rPr>
      </w:pPr>
      <w:r>
        <w:rPr>
          <w:rStyle w:val="9"/>
          <w:rFonts w:hint="eastAsia" w:ascii="仿宋_GB2312" w:hAnsi="Times New Roman" w:eastAsia="仿宋_GB2312" w:cs="Times New Roman"/>
          <w:sz w:val="32"/>
          <w:szCs w:val="32"/>
          <w:shd w:val="clear" w:color="auto" w:fill="FFFFFF"/>
        </w:rPr>
        <w:t xml:space="preserve">第二部分 </w:t>
      </w:r>
      <w:r>
        <w:rPr>
          <w:rStyle w:val="9"/>
          <w:rFonts w:hint="eastAsia" w:ascii="仿宋_GB2312" w:hAnsi="Times New Roman" w:eastAsia="仿宋_GB2312" w:cs="Times New Roman"/>
          <w:sz w:val="32"/>
          <w:szCs w:val="32"/>
          <w:shd w:val="clear" w:color="auto" w:fill="FFFFFF"/>
          <w:lang w:val="en" w:eastAsia="zh-CN"/>
        </w:rPr>
        <w:t>2026年</w:t>
      </w:r>
      <w:r>
        <w:rPr>
          <w:rStyle w:val="9"/>
          <w:rFonts w:hint="eastAsia" w:ascii="仿宋_GB2312" w:hAnsi="Times New Roman" w:eastAsia="仿宋_GB2312" w:cs="Times New Roman"/>
          <w:sz w:val="32"/>
          <w:szCs w:val="32"/>
          <w:shd w:val="clear" w:color="auto" w:fill="FFFFFF"/>
          <w:lang w:val="en-US" w:eastAsia="zh-CN"/>
        </w:rPr>
        <w:t>部门</w:t>
      </w:r>
      <w:r>
        <w:rPr>
          <w:rStyle w:val="9"/>
          <w:rFonts w:hint="eastAsia" w:ascii="仿宋_GB2312" w:hAnsi="Times New Roman" w:eastAsia="仿宋_GB2312" w:cs="Times New Roman"/>
          <w:sz w:val="32"/>
          <w:szCs w:val="32"/>
          <w:shd w:val="clear" w:color="auto" w:fill="FFFFFF"/>
        </w:rPr>
        <w:t>预算表</w:t>
      </w:r>
    </w:p>
    <w:p w14:paraId="52D8E50E">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w:t>
      </w:r>
      <w:r>
        <w:rPr>
          <w:rFonts w:hint="eastAsia" w:ascii="仿宋_GB2312" w:hAnsi="Times New Roman" w:eastAsia="仿宋_GB2312" w:cs="Times New Roman"/>
          <w:sz w:val="32"/>
          <w:szCs w:val="32"/>
          <w:shd w:val="clear" w:color="auto" w:fill="FFFFFF"/>
          <w:lang w:eastAsia="zh-CN"/>
        </w:rPr>
        <w:t>歙县</w:t>
      </w:r>
      <w:r>
        <w:rPr>
          <w:rFonts w:hint="eastAsia" w:ascii="仿宋_GB2312" w:hAnsi="Times New Roman" w:eastAsia="仿宋_GB2312" w:cs="Times New Roman"/>
          <w:sz w:val="32"/>
          <w:szCs w:val="32"/>
          <w:shd w:val="clear" w:color="auto" w:fill="FFFFFF"/>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收支预算总表</w:t>
      </w:r>
    </w:p>
    <w:p w14:paraId="16E12AC1">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2.</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收入预算总表</w:t>
      </w:r>
    </w:p>
    <w:p w14:paraId="472900B6">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3.</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支出预算总表</w:t>
      </w:r>
    </w:p>
    <w:p w14:paraId="0FB2416E">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仿宋" w:eastAsia="仿宋_GB2312" w:cs="仿宋"/>
          <w:bCs/>
          <w:sz w:val="32"/>
          <w:szCs w:val="32"/>
          <w:lang w:val="en-US" w:eastAsia="zh-CN"/>
        </w:rPr>
        <w:t>4.</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财政拨款收支预算总表</w:t>
      </w:r>
    </w:p>
    <w:p w14:paraId="5940677E">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lang w:val="en-US" w:eastAsia="zh-CN"/>
        </w:rPr>
        <w:t>5</w:t>
      </w:r>
      <w:r>
        <w:rPr>
          <w:rFonts w:hint="eastAsia" w:ascii="仿宋_GB2312" w:hAnsi="Times New Roman" w:eastAsia="仿宋_GB2312" w:cs="Times New Roman"/>
          <w:sz w:val="32"/>
          <w:szCs w:val="32"/>
          <w:shd w:val="clear" w:color="auto" w:fill="FFFFFF"/>
        </w:rPr>
        <w:t>.</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一般公共预算支出表</w:t>
      </w:r>
    </w:p>
    <w:p w14:paraId="09927678">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lang w:val="en-US" w:eastAsia="zh-CN"/>
        </w:rPr>
        <w:t>6</w:t>
      </w:r>
      <w:r>
        <w:rPr>
          <w:rFonts w:hint="eastAsia" w:ascii="仿宋_GB2312" w:hAnsi="Times New Roman" w:eastAsia="仿宋_GB2312" w:cs="Times New Roman"/>
          <w:sz w:val="32"/>
          <w:szCs w:val="32"/>
          <w:shd w:val="clear" w:color="auto" w:fill="FFFFFF"/>
        </w:rPr>
        <w:t>.</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一般公共预算基本支出表</w:t>
      </w:r>
    </w:p>
    <w:p w14:paraId="155D6C3D">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lang w:val="en-US" w:eastAsia="zh-CN"/>
        </w:rPr>
        <w:t>7</w:t>
      </w:r>
      <w:r>
        <w:rPr>
          <w:rFonts w:hint="eastAsia" w:ascii="仿宋_GB2312" w:hAnsi="Times New Roman" w:eastAsia="仿宋_GB2312" w:cs="Times New Roman"/>
          <w:sz w:val="32"/>
          <w:szCs w:val="32"/>
          <w:shd w:val="clear" w:color="auto" w:fill="FFFFFF"/>
        </w:rPr>
        <w:t>.</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政府性基金预算支出表</w:t>
      </w:r>
    </w:p>
    <w:p w14:paraId="1B5847B2">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lang w:val="en-US" w:eastAsia="zh-CN"/>
        </w:rPr>
        <w:t>8</w:t>
      </w:r>
      <w:r>
        <w:rPr>
          <w:rFonts w:hint="eastAsia" w:ascii="仿宋_GB2312" w:hAnsi="Times New Roman" w:eastAsia="仿宋_GB2312" w:cs="Times New Roman"/>
          <w:sz w:val="32"/>
          <w:szCs w:val="32"/>
          <w:shd w:val="clear" w:color="auto" w:fill="FFFFFF"/>
        </w:rPr>
        <w:t>.</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国有资本经营预算支出表</w:t>
      </w:r>
    </w:p>
    <w:p w14:paraId="0A5BEBA4">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lang w:val="en-US" w:eastAsia="zh-CN"/>
        </w:rPr>
      </w:pPr>
      <w:r>
        <w:rPr>
          <w:rFonts w:hint="eastAsia" w:ascii="仿宋_GB2312" w:hAnsi="Times New Roman" w:eastAsia="仿宋_GB2312" w:cs="Times New Roman"/>
          <w:sz w:val="32"/>
          <w:szCs w:val="32"/>
          <w:shd w:val="clear" w:color="auto" w:fill="FFFFFF"/>
          <w:lang w:val="en-US" w:eastAsia="zh-CN"/>
        </w:rPr>
        <w:t>9.</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lang w:val="en-US" w:eastAsia="zh-CN"/>
        </w:rPr>
        <w:t>基本支出表</w:t>
      </w:r>
    </w:p>
    <w:p w14:paraId="24A252B8">
      <w:pPr>
        <w:pStyle w:val="6"/>
        <w:spacing w:before="0" w:beforeAutospacing="0" w:after="0" w:afterAutospacing="0" w:line="560" w:lineRule="exact"/>
        <w:ind w:firstLine="640" w:firstLineChars="200"/>
        <w:rPr>
          <w:rFonts w:hint="default" w:ascii="仿宋_GB2312" w:hAnsi="Times New Roman" w:eastAsia="仿宋_GB2312" w:cs="Times New Roman"/>
          <w:sz w:val="32"/>
          <w:szCs w:val="32"/>
          <w:shd w:val="clear" w:color="auto" w:fill="FFFFFF"/>
          <w:lang w:val="en-US" w:eastAsia="zh-CN"/>
        </w:rPr>
      </w:pPr>
      <w:r>
        <w:rPr>
          <w:rFonts w:hint="eastAsia" w:ascii="仿宋_GB2312" w:hAnsi="Times New Roman" w:eastAsia="仿宋_GB2312" w:cs="Times New Roman"/>
          <w:sz w:val="32"/>
          <w:szCs w:val="32"/>
          <w:shd w:val="clear" w:color="auto" w:fill="FFFFFF"/>
          <w:lang w:val="en-US" w:eastAsia="zh-CN"/>
        </w:rPr>
        <w:t>10.</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lang w:val="en-US" w:eastAsia="zh-CN"/>
        </w:rPr>
        <w:t>项目支出表</w:t>
      </w:r>
    </w:p>
    <w:p w14:paraId="1A88FFFC">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11.</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政府采购预算支出表</w:t>
      </w:r>
    </w:p>
    <w:p w14:paraId="7D12601C">
      <w:pPr>
        <w:pStyle w:val="6"/>
        <w:spacing w:before="0" w:beforeAutospacing="0" w:after="0" w:afterAutospacing="0" w:line="560" w:lineRule="exact"/>
        <w:ind w:firstLine="640" w:firstLineChars="200"/>
        <w:rPr>
          <w:rFonts w:hint="eastAsia" w:ascii="TimesNewRoman" w:hAnsi="TimesNewRoman" w:eastAsia="仿宋_GB2312" w:cs="TimesNewRoman"/>
          <w:bCs/>
          <w:kern w:val="0"/>
          <w:sz w:val="32"/>
          <w:szCs w:val="32"/>
          <w:lang w:val="en-US" w:eastAsia="zh-CN" w:bidi="ar-SA"/>
        </w:rPr>
      </w:pPr>
      <w:r>
        <w:rPr>
          <w:rFonts w:hint="eastAsia" w:ascii="仿宋_GB2312" w:hAnsi="Times New Roman" w:eastAsia="仿宋_GB2312" w:cs="Times New Roman"/>
          <w:sz w:val="32"/>
          <w:szCs w:val="32"/>
          <w:shd w:val="clear" w:color="auto" w:fill="FFFFFF"/>
        </w:rPr>
        <w:t>12.</w:t>
      </w:r>
      <w:r>
        <w:rPr>
          <w:rFonts w:hint="eastAsia" w:ascii="TimesNewRoman" w:hAnsi="TimesNewRoman" w:eastAsia="仿宋_GB2312" w:cs="TimesNewRoman"/>
          <w:bCs/>
          <w:kern w:val="0"/>
          <w:sz w:val="32"/>
          <w:szCs w:val="32"/>
          <w:lang w:val="en-US" w:eastAsia="zh-CN" w:bidi="ar-SA"/>
        </w:rPr>
        <w:t>歙县长陔乡人民政府</w:t>
      </w:r>
      <w:r>
        <w:rPr>
          <w:rFonts w:hint="eastAsia" w:ascii="仿宋_GB2312" w:hAnsi="Times New Roman" w:eastAsia="仿宋_GB2312" w:cs="Times New Roman"/>
          <w:sz w:val="32"/>
          <w:szCs w:val="32"/>
          <w:shd w:val="clear" w:color="auto" w:fill="FFFFFF"/>
          <w:lang w:val="en" w:eastAsia="zh-CN"/>
        </w:rPr>
        <w:t>2026</w:t>
      </w:r>
      <w:r>
        <w:rPr>
          <w:rFonts w:hint="eastAsia" w:ascii="TimesNewRoman" w:hAnsi="TimesNewRoman" w:eastAsia="仿宋_GB2312" w:cs="TimesNewRoman"/>
          <w:bCs/>
          <w:kern w:val="0"/>
          <w:sz w:val="32"/>
          <w:szCs w:val="32"/>
          <w:lang w:val="en" w:eastAsia="zh-CN" w:bidi="ar-SA"/>
        </w:rPr>
        <w:t>年</w:t>
      </w:r>
      <w:r>
        <w:rPr>
          <w:rFonts w:hint="eastAsia" w:ascii="TimesNewRoman" w:hAnsi="TimesNewRoman" w:eastAsia="仿宋_GB2312" w:cs="TimesNewRoman"/>
          <w:bCs/>
          <w:kern w:val="0"/>
          <w:sz w:val="32"/>
          <w:szCs w:val="32"/>
          <w:lang w:val="en-US" w:eastAsia="zh-CN" w:bidi="ar-SA"/>
        </w:rPr>
        <w:t>政府购买服务预算支出表</w:t>
      </w:r>
    </w:p>
    <w:p w14:paraId="0028468D">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13.</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项目支出绩效目标及项目情况表</w:t>
      </w:r>
    </w:p>
    <w:p w14:paraId="2BD49615">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14.</w:t>
      </w:r>
      <w:r>
        <w:rPr>
          <w:rFonts w:hint="eastAsia" w:ascii="仿宋_GB2312" w:hAnsi="仿宋" w:eastAsia="仿宋_GB2312" w:cs="仿宋"/>
          <w:bCs/>
          <w:sz w:val="32"/>
          <w:szCs w:val="32"/>
          <w:lang w:eastAsia="zh-CN"/>
        </w:rPr>
        <w:t>歙县</w:t>
      </w:r>
      <w:r>
        <w:rPr>
          <w:rFonts w:hint="eastAsia" w:ascii="仿宋_GB2312" w:hAnsi="仿宋" w:eastAsia="仿宋_GB2312" w:cs="仿宋"/>
          <w:bCs/>
          <w:sz w:val="32"/>
          <w:szCs w:val="32"/>
          <w:lang w:val="en-US" w:eastAsia="zh-CN"/>
        </w:rPr>
        <w:t>长陔乡人民政府</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“三公”经费财政拨款支出预算表</w:t>
      </w:r>
    </w:p>
    <w:p w14:paraId="5D155018">
      <w:pPr>
        <w:pStyle w:val="6"/>
        <w:spacing w:before="0" w:beforeAutospacing="0" w:after="0" w:afterAutospacing="0" w:line="560" w:lineRule="exact"/>
        <w:ind w:firstLine="643" w:firstLineChars="200"/>
        <w:rPr>
          <w:rFonts w:hint="eastAsia" w:ascii="仿宋_GB2312" w:hAnsi="Times New Roman" w:eastAsia="仿宋_GB2312" w:cs="Times New Roman"/>
          <w:sz w:val="32"/>
          <w:szCs w:val="32"/>
        </w:rPr>
      </w:pPr>
      <w:r>
        <w:rPr>
          <w:rStyle w:val="9"/>
          <w:rFonts w:hint="eastAsia" w:ascii="仿宋_GB2312" w:hAnsi="Times New Roman" w:eastAsia="仿宋_GB2312" w:cs="Times New Roman"/>
          <w:sz w:val="32"/>
          <w:szCs w:val="32"/>
          <w:shd w:val="clear" w:color="auto" w:fill="FFFFFF"/>
        </w:rPr>
        <w:t xml:space="preserve">第三部分 </w:t>
      </w:r>
      <w:r>
        <w:rPr>
          <w:rStyle w:val="9"/>
          <w:rFonts w:hint="eastAsia" w:ascii="仿宋_GB2312" w:hAnsi="Times New Roman" w:eastAsia="仿宋_GB2312" w:cs="Times New Roman"/>
          <w:sz w:val="32"/>
          <w:szCs w:val="32"/>
          <w:shd w:val="clear" w:color="auto" w:fill="FFFFFF"/>
          <w:lang w:val="en" w:eastAsia="zh-CN"/>
        </w:rPr>
        <w:t>2026年</w:t>
      </w:r>
      <w:r>
        <w:rPr>
          <w:rStyle w:val="9"/>
          <w:rFonts w:hint="eastAsia" w:ascii="仿宋_GB2312" w:hAnsi="Times New Roman" w:eastAsia="仿宋_GB2312" w:cs="Times New Roman"/>
          <w:sz w:val="32"/>
          <w:szCs w:val="32"/>
          <w:shd w:val="clear" w:color="auto" w:fill="FFFFFF"/>
        </w:rPr>
        <w:t>部门预算情况说明</w:t>
      </w:r>
    </w:p>
    <w:p w14:paraId="51A1C808">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收支预算总体情况说明</w:t>
      </w:r>
    </w:p>
    <w:p w14:paraId="07EA9788">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2.关于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收入预算情况说明</w:t>
      </w:r>
    </w:p>
    <w:p w14:paraId="3988AC13">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3.关于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支出预算情况说明</w:t>
      </w:r>
    </w:p>
    <w:p w14:paraId="605A290D">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4.关于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财政拨款收支预算总体情况说明</w:t>
      </w:r>
    </w:p>
    <w:p w14:paraId="41F1D410">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5.关于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一般公共预算财政拨款情况说明</w:t>
      </w:r>
    </w:p>
    <w:p w14:paraId="28C928E3">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6.关于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一般公共预算基本支出情况说明</w:t>
      </w:r>
    </w:p>
    <w:p w14:paraId="669F8C70">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7.关于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政府性基金预算拨款情况说明</w:t>
      </w:r>
    </w:p>
    <w:p w14:paraId="05EC7202">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8.关于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国有资本经营预算拨款情况说明</w:t>
      </w:r>
    </w:p>
    <w:p w14:paraId="67E9920F">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9.关于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项目支出表的说明</w:t>
      </w:r>
    </w:p>
    <w:p w14:paraId="715A70FB">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10.关于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政府采购支出表的说明</w:t>
      </w:r>
    </w:p>
    <w:p w14:paraId="755A4400">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11.关于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政府购买服务支出表的说明</w:t>
      </w:r>
    </w:p>
    <w:p w14:paraId="7A713135">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shd w:val="clear" w:color="auto" w:fill="FFFFFF"/>
        </w:rPr>
      </w:pPr>
      <w:r>
        <w:rPr>
          <w:rFonts w:hint="eastAsia" w:ascii="仿宋_GB2312" w:hAnsi="Times New Roman" w:eastAsia="仿宋_GB2312" w:cs="Times New Roman"/>
          <w:sz w:val="32"/>
          <w:szCs w:val="32"/>
          <w:shd w:val="clear" w:color="auto" w:fill="FFFFFF"/>
        </w:rPr>
        <w:t>12.关于</w:t>
      </w:r>
      <w:r>
        <w:rPr>
          <w:rFonts w:hint="eastAsia" w:ascii="仿宋_GB2312" w:hAnsi="Times New Roman" w:eastAsia="仿宋_GB2312" w:cs="Times New Roman"/>
          <w:sz w:val="32"/>
          <w:szCs w:val="32"/>
          <w:shd w:val="clear" w:color="auto" w:fill="FFFFFF"/>
          <w:lang w:val="en" w:eastAsia="zh-CN"/>
        </w:rPr>
        <w:t>2026年</w:t>
      </w:r>
      <w:r>
        <w:rPr>
          <w:rFonts w:hint="eastAsia" w:ascii="仿宋_GB2312" w:hAnsi="Times New Roman" w:eastAsia="仿宋_GB2312" w:cs="Times New Roman"/>
          <w:sz w:val="32"/>
          <w:szCs w:val="32"/>
          <w:shd w:val="clear" w:color="auto" w:fill="FFFFFF"/>
        </w:rPr>
        <w:t>“三公”经费预算情况说明</w:t>
      </w:r>
    </w:p>
    <w:p w14:paraId="22867704">
      <w:pPr>
        <w:pStyle w:val="6"/>
        <w:spacing w:before="0" w:beforeAutospacing="0" w:after="0" w:afterAutospacing="0"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shd w:val="clear" w:color="auto" w:fill="FFFFFF"/>
        </w:rPr>
        <w:t>13.其他重要事项情况说明</w:t>
      </w:r>
    </w:p>
    <w:p w14:paraId="3DE2F888">
      <w:pPr>
        <w:pStyle w:val="6"/>
        <w:spacing w:before="0" w:beforeAutospacing="0" w:after="0" w:afterAutospacing="0" w:line="560" w:lineRule="exact"/>
        <w:ind w:firstLine="643" w:firstLineChars="200"/>
        <w:rPr>
          <w:rStyle w:val="9"/>
          <w:rFonts w:hint="eastAsia" w:ascii="仿宋_GB2312" w:hAnsi="Times New Roman" w:eastAsia="仿宋_GB2312" w:cs="Times New Roman"/>
          <w:sz w:val="32"/>
          <w:szCs w:val="32"/>
          <w:shd w:val="clear" w:color="auto" w:fill="FFFFFF"/>
        </w:rPr>
      </w:pPr>
      <w:r>
        <w:rPr>
          <w:rStyle w:val="9"/>
          <w:rFonts w:hint="eastAsia" w:ascii="仿宋_GB2312" w:hAnsi="Times New Roman" w:eastAsia="仿宋_GB2312" w:cs="Times New Roman"/>
          <w:sz w:val="32"/>
          <w:szCs w:val="32"/>
          <w:shd w:val="clear" w:color="auto" w:fill="FFFFFF"/>
        </w:rPr>
        <w:t>第四部分 名词解释</w:t>
      </w:r>
    </w:p>
    <w:p w14:paraId="5593C690">
      <w:pPr>
        <w:pStyle w:val="6"/>
        <w:spacing w:before="0" w:beforeAutospacing="0" w:after="0" w:afterAutospacing="0" w:line="400" w:lineRule="exact"/>
        <w:ind w:firstLine="573"/>
        <w:rPr>
          <w:rFonts w:hint="eastAsia" w:ascii="仿宋_GB2312" w:hAnsi="Times New Roman" w:eastAsia="仿宋_GB2312" w:cs="Times New Roman"/>
          <w:color w:val="333333"/>
          <w:sz w:val="43"/>
          <w:szCs w:val="43"/>
          <w:shd w:val="clear" w:color="auto" w:fill="FFFFFF"/>
        </w:rPr>
      </w:pPr>
    </w:p>
    <w:p w14:paraId="10E81301">
      <w:pPr>
        <w:pStyle w:val="6"/>
        <w:spacing w:before="0" w:beforeAutospacing="0" w:after="0" w:afterAutospacing="0" w:line="400" w:lineRule="exact"/>
        <w:ind w:firstLine="573"/>
        <w:rPr>
          <w:rFonts w:hint="eastAsia" w:ascii="仿宋_GB2312" w:hAnsi="Times New Roman" w:eastAsia="仿宋_GB2312" w:cs="Times New Roman"/>
          <w:color w:val="333333"/>
          <w:sz w:val="43"/>
          <w:szCs w:val="43"/>
          <w:shd w:val="clear" w:color="auto" w:fill="FFFFFF"/>
        </w:rPr>
      </w:pPr>
    </w:p>
    <w:p w14:paraId="4E4296CE">
      <w:pPr>
        <w:pStyle w:val="6"/>
        <w:spacing w:before="0" w:beforeAutospacing="0" w:after="0" w:afterAutospacing="0" w:line="400" w:lineRule="exact"/>
        <w:ind w:firstLine="573"/>
        <w:rPr>
          <w:rFonts w:hint="eastAsia" w:ascii="仿宋_GB2312" w:hAnsi="Times New Roman" w:eastAsia="仿宋_GB2312" w:cs="Times New Roman"/>
          <w:color w:val="333333"/>
          <w:sz w:val="43"/>
          <w:szCs w:val="43"/>
          <w:shd w:val="clear" w:color="auto" w:fill="FFFFFF"/>
        </w:rPr>
      </w:pPr>
    </w:p>
    <w:p w14:paraId="1782F3DB">
      <w:pPr>
        <w:pStyle w:val="6"/>
        <w:spacing w:before="0" w:beforeAutospacing="0" w:after="0" w:afterAutospacing="0" w:line="400" w:lineRule="exact"/>
        <w:ind w:firstLine="573"/>
        <w:rPr>
          <w:rFonts w:hint="eastAsia" w:ascii="仿宋_GB2312" w:hAnsi="Times New Roman" w:eastAsia="仿宋_GB2312" w:cs="Times New Roman"/>
          <w:color w:val="333333"/>
          <w:sz w:val="43"/>
          <w:szCs w:val="43"/>
          <w:shd w:val="clear" w:color="auto" w:fill="FFFFFF"/>
        </w:rPr>
      </w:pPr>
    </w:p>
    <w:p w14:paraId="1EF22DC8">
      <w:pPr>
        <w:pStyle w:val="6"/>
        <w:spacing w:before="0" w:beforeAutospacing="0" w:after="0" w:afterAutospacing="0" w:line="400" w:lineRule="exact"/>
        <w:ind w:firstLine="573"/>
        <w:rPr>
          <w:rFonts w:hint="eastAsia" w:ascii="仿宋_GB2312" w:hAnsi="Times New Roman" w:eastAsia="仿宋_GB2312" w:cs="Times New Roman"/>
          <w:color w:val="333333"/>
          <w:sz w:val="43"/>
          <w:szCs w:val="43"/>
          <w:shd w:val="clear" w:color="auto" w:fill="FFFFFF"/>
        </w:rPr>
      </w:pPr>
    </w:p>
    <w:p w14:paraId="0649E9E8">
      <w:pPr>
        <w:pStyle w:val="6"/>
        <w:spacing w:before="0" w:beforeAutospacing="0" w:after="0" w:afterAutospacing="0" w:line="555" w:lineRule="atLeast"/>
        <w:ind w:firstLine="360" w:firstLineChars="100"/>
        <w:jc w:val="center"/>
        <w:rPr>
          <w:rFonts w:ascii="Times New Roman" w:hAnsi="Times New Roman" w:eastAsia="黑体" w:cs="Times New Roman"/>
          <w:color w:val="333333"/>
          <w:sz w:val="36"/>
          <w:szCs w:val="36"/>
          <w:shd w:val="clear" w:color="auto" w:fill="FFFFFF"/>
        </w:rPr>
      </w:pPr>
    </w:p>
    <w:p w14:paraId="51F92DA5">
      <w:pPr>
        <w:pStyle w:val="6"/>
        <w:spacing w:before="0" w:beforeAutospacing="0" w:after="0" w:afterAutospacing="0" w:line="555" w:lineRule="atLeast"/>
        <w:ind w:firstLine="360" w:firstLineChars="100"/>
        <w:jc w:val="center"/>
        <w:rPr>
          <w:rFonts w:ascii="Times New Roman" w:hAnsi="Times New Roman" w:eastAsia="黑体" w:cs="Times New Roman"/>
          <w:color w:val="333333"/>
          <w:sz w:val="36"/>
          <w:szCs w:val="36"/>
          <w:shd w:val="clear" w:color="auto" w:fill="FFFFFF"/>
        </w:rPr>
      </w:pPr>
    </w:p>
    <w:p w14:paraId="75FC4510">
      <w:pPr>
        <w:pStyle w:val="6"/>
        <w:spacing w:before="0" w:beforeAutospacing="0" w:after="0" w:afterAutospacing="0" w:line="555" w:lineRule="atLeast"/>
        <w:ind w:firstLine="360" w:firstLineChars="100"/>
        <w:jc w:val="center"/>
        <w:rPr>
          <w:rFonts w:ascii="Times New Roman" w:hAnsi="Times New Roman" w:eastAsia="黑体" w:cs="Times New Roman"/>
          <w:color w:val="333333"/>
          <w:sz w:val="36"/>
          <w:szCs w:val="36"/>
          <w:shd w:val="clear" w:color="auto" w:fill="FFFFFF"/>
        </w:rPr>
      </w:pPr>
    </w:p>
    <w:p w14:paraId="602A17C3">
      <w:pPr>
        <w:pStyle w:val="6"/>
        <w:spacing w:before="0" w:beforeAutospacing="0" w:after="0" w:afterAutospacing="0" w:line="555" w:lineRule="atLeast"/>
        <w:ind w:firstLine="360" w:firstLineChars="100"/>
        <w:jc w:val="center"/>
        <w:rPr>
          <w:rFonts w:ascii="Times New Roman" w:hAnsi="Times New Roman" w:eastAsia="黑体" w:cs="Times New Roman"/>
          <w:color w:val="333333"/>
          <w:sz w:val="36"/>
          <w:szCs w:val="36"/>
          <w:shd w:val="clear" w:color="auto" w:fill="FFFFFF"/>
        </w:rPr>
      </w:pPr>
    </w:p>
    <w:p w14:paraId="24508A53">
      <w:pPr>
        <w:pStyle w:val="6"/>
        <w:spacing w:before="0" w:beforeAutospacing="0" w:after="0" w:afterAutospacing="0" w:line="555" w:lineRule="atLeast"/>
        <w:ind w:firstLine="360" w:firstLineChars="100"/>
        <w:jc w:val="center"/>
        <w:rPr>
          <w:rFonts w:ascii="Times New Roman" w:hAnsi="Times New Roman" w:eastAsia="黑体" w:cs="Times New Roman"/>
          <w:color w:val="333333"/>
          <w:sz w:val="36"/>
          <w:szCs w:val="36"/>
          <w:shd w:val="clear" w:color="auto" w:fill="FFFFFF"/>
        </w:rPr>
      </w:pPr>
    </w:p>
    <w:p w14:paraId="5512B360">
      <w:pPr>
        <w:pStyle w:val="6"/>
        <w:spacing w:before="0" w:beforeAutospacing="0" w:after="0" w:afterAutospacing="0" w:line="555" w:lineRule="atLeast"/>
        <w:jc w:val="both"/>
        <w:rPr>
          <w:rFonts w:ascii="Times New Roman" w:hAnsi="Times New Roman" w:eastAsia="黑体" w:cs="Times New Roman"/>
          <w:color w:val="333333"/>
          <w:sz w:val="36"/>
          <w:szCs w:val="36"/>
          <w:shd w:val="clear" w:color="auto" w:fill="FFFFFF"/>
        </w:rPr>
      </w:pPr>
    </w:p>
    <w:p w14:paraId="2EB8CCFD">
      <w:pPr>
        <w:pStyle w:val="6"/>
        <w:spacing w:before="0" w:beforeAutospacing="0" w:after="0" w:afterAutospacing="0" w:line="555" w:lineRule="atLeast"/>
        <w:ind w:firstLine="360" w:firstLineChars="100"/>
        <w:jc w:val="center"/>
        <w:rPr>
          <w:rFonts w:ascii="Times New Roman" w:hAnsi="Times New Roman" w:cs="Times New Roman"/>
        </w:rPr>
      </w:pPr>
      <w:r>
        <w:rPr>
          <w:rFonts w:ascii="Times New Roman" w:hAnsi="Times New Roman" w:eastAsia="黑体" w:cs="Times New Roman"/>
          <w:color w:val="333333"/>
          <w:sz w:val="36"/>
          <w:szCs w:val="36"/>
          <w:shd w:val="clear" w:color="auto" w:fill="FFFFFF"/>
        </w:rPr>
        <w:t>第一部分  部门概况</w:t>
      </w:r>
    </w:p>
    <w:p w14:paraId="66CA749C">
      <w:pPr>
        <w:pStyle w:val="6"/>
        <w:spacing w:before="0" w:beforeAutospacing="0" w:after="0" w:afterAutospacing="0" w:line="555" w:lineRule="atLeast"/>
        <w:ind w:firstLine="645"/>
        <w:jc w:val="both"/>
        <w:rPr>
          <w:rFonts w:ascii="Times New Roman" w:hAnsi="Times New Roman" w:eastAsia="黑体" w:cs="Times New Roman"/>
          <w:color w:val="333333"/>
          <w:sz w:val="31"/>
          <w:szCs w:val="31"/>
          <w:shd w:val="clear" w:color="auto" w:fill="FFFFFF"/>
        </w:rPr>
      </w:pPr>
    </w:p>
    <w:p w14:paraId="52C12B9F">
      <w:pPr>
        <w:pStyle w:val="6"/>
        <w:spacing w:before="0" w:beforeAutospacing="0" w:after="0" w:afterAutospacing="0" w:line="500" w:lineRule="exact"/>
        <w:ind w:firstLine="646"/>
        <w:jc w:val="both"/>
        <w:rPr>
          <w:rFonts w:ascii="Times New Roman" w:hAnsi="Times New Roman" w:cs="Times New Roman"/>
          <w:sz w:val="32"/>
          <w:szCs w:val="32"/>
        </w:rPr>
      </w:pPr>
      <w:r>
        <w:rPr>
          <w:rFonts w:ascii="Times New Roman" w:hAnsi="Times New Roman" w:eastAsia="黑体" w:cs="Times New Roman"/>
          <w:color w:val="333333"/>
          <w:sz w:val="32"/>
          <w:szCs w:val="32"/>
          <w:shd w:val="clear" w:color="auto" w:fill="FFFFFF"/>
        </w:rPr>
        <w:t>一、</w:t>
      </w:r>
      <w:r>
        <w:rPr>
          <w:rFonts w:hint="eastAsia" w:ascii="Times New Roman" w:hAnsi="Times New Roman" w:eastAsia="黑体" w:cs="Times New Roman"/>
          <w:color w:val="333333"/>
          <w:sz w:val="32"/>
          <w:szCs w:val="32"/>
          <w:shd w:val="clear" w:color="auto" w:fill="FFFFFF"/>
        </w:rPr>
        <w:t>主要</w:t>
      </w:r>
      <w:r>
        <w:rPr>
          <w:rFonts w:ascii="Times New Roman" w:hAnsi="Times New Roman" w:eastAsia="黑体" w:cs="Times New Roman"/>
          <w:color w:val="333333"/>
          <w:sz w:val="32"/>
          <w:szCs w:val="32"/>
          <w:shd w:val="clear" w:color="auto" w:fill="FFFFFF"/>
        </w:rPr>
        <w:t>职责</w:t>
      </w:r>
    </w:p>
    <w:p w14:paraId="2A718649">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line="574" w:lineRule="exact"/>
        <w:ind w:firstLine="620" w:firstLineChars="200"/>
        <w:jc w:val="both"/>
        <w:textAlignment w:val="auto"/>
        <w:rPr>
          <w:rFonts w:ascii="黑体" w:hAnsi="黑体" w:eastAsia="黑体"/>
          <w:bCs/>
          <w:sz w:val="32"/>
          <w:szCs w:val="32"/>
        </w:rPr>
      </w:pPr>
      <w:r>
        <w:rPr>
          <w:rFonts w:hint="eastAsia" w:ascii="仿宋_GB2312" w:hAnsi="仿宋_GB2312" w:eastAsia="仿宋_GB2312" w:cs="仿宋_GB2312"/>
          <w:color w:val="333333"/>
          <w:sz w:val="31"/>
          <w:szCs w:val="31"/>
          <w:shd w:val="clear" w:color="auto" w:fill="FFFFFF"/>
        </w:rPr>
        <w:t>根据《关于印发歙县</w:t>
      </w:r>
      <w:r>
        <w:rPr>
          <w:rFonts w:hint="eastAsia" w:ascii="仿宋_GB2312" w:hAnsi="仿宋_GB2312" w:eastAsia="仿宋_GB2312" w:cs="仿宋_GB2312"/>
          <w:color w:val="333333"/>
          <w:sz w:val="31"/>
          <w:szCs w:val="31"/>
          <w:shd w:val="clear" w:color="auto" w:fill="FFFFFF"/>
          <w:lang w:val="en-US" w:eastAsia="zh-CN"/>
        </w:rPr>
        <w:t>长陔乡</w:t>
      </w:r>
      <w:r>
        <w:rPr>
          <w:rFonts w:hint="eastAsia" w:ascii="仿宋_GB2312" w:hAnsi="仿宋_GB2312" w:eastAsia="仿宋_GB2312" w:cs="仿宋_GB2312"/>
          <w:color w:val="333333"/>
          <w:sz w:val="31"/>
          <w:szCs w:val="31"/>
          <w:shd w:val="clear" w:color="auto" w:fill="FFFFFF"/>
        </w:rPr>
        <w:t>主要职责内设机构和人员编制规定的通知》文件规定，歙县</w:t>
      </w:r>
      <w:r>
        <w:rPr>
          <w:rFonts w:hint="eastAsia" w:ascii="仿宋_GB2312" w:hAnsi="仿宋_GB2312" w:eastAsia="仿宋_GB2312" w:cs="仿宋_GB2312"/>
          <w:color w:val="333333"/>
          <w:sz w:val="31"/>
          <w:szCs w:val="31"/>
          <w:shd w:val="clear" w:color="auto" w:fill="FFFFFF"/>
          <w:lang w:val="en-US" w:eastAsia="zh-CN"/>
        </w:rPr>
        <w:t>长陔乡</w:t>
      </w:r>
      <w:r>
        <w:rPr>
          <w:rFonts w:hint="eastAsia" w:ascii="仿宋_GB2312" w:hAnsi="仿宋_GB2312" w:eastAsia="仿宋_GB2312" w:cs="仿宋_GB2312"/>
          <w:color w:val="333333"/>
          <w:sz w:val="31"/>
          <w:szCs w:val="31"/>
          <w:shd w:val="clear" w:color="auto" w:fill="FFFFFF"/>
        </w:rPr>
        <w:t>主要职责是：</w:t>
      </w:r>
    </w:p>
    <w:p w14:paraId="7A07C0ED">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ascii="仿宋_GB2312" w:hAnsi="仿宋" w:eastAsia="仿宋_GB2312" w:cs="仿宋"/>
          <w:bCs/>
          <w:sz w:val="32"/>
          <w:szCs w:val="32"/>
        </w:rPr>
      </w:pPr>
      <w:r>
        <w:rPr>
          <w:rFonts w:hint="eastAsia" w:ascii="仿宋_GB2312" w:hAnsi="仿宋" w:eastAsia="仿宋_GB2312" w:cs="仿宋"/>
          <w:bCs/>
          <w:sz w:val="32"/>
          <w:szCs w:val="32"/>
        </w:rPr>
        <w:t>（一）执行国家行政机关的决定、命令和国家制定的法令、法规，执行本级人民代表大会的各项决议，并报告执行决议、决定和命令的情况。</w:t>
      </w:r>
    </w:p>
    <w:p w14:paraId="6224979B">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（二）制定并落实本行政区域的经济计划和措施，全面提高人民群众的生活水平和生活质量。</w:t>
      </w:r>
    </w:p>
    <w:p w14:paraId="6EA4BF65">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（三）承担国有资产、集体资产管理、监督及增值保值责任。</w:t>
      </w:r>
    </w:p>
    <w:p w14:paraId="0516992B">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（四）开展社会主义民主和法制的宣传教育，保障公民的权利，打击违法犯罪，维护社会稳定。</w:t>
      </w:r>
    </w:p>
    <w:p w14:paraId="793E19CD">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（五）制定社会各项事业发展计划，发展教育、卫生、科技、民政、广播电视、文化、体育事业；加强计划生育工作；推进社会保障、社会福利事业和养老保险等工作。</w:t>
      </w:r>
    </w:p>
    <w:p w14:paraId="58AA166F">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（六）加强镇级财政的监督和管理。</w:t>
      </w:r>
    </w:p>
    <w:p w14:paraId="6E03C967">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（七）指导村（居）民委员会的组织制度建设和业务建设，促进村（居）民委员会民主自治。</w:t>
      </w:r>
    </w:p>
    <w:p w14:paraId="665FDDC5">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（八）制定和组织实施镇村建设规划，保护和改善生活环境和生态环境。</w:t>
      </w:r>
    </w:p>
    <w:p w14:paraId="372E4D95">
      <w:pPr>
        <w:pStyle w:val="10"/>
        <w:keepNext w:val="0"/>
        <w:keepLines w:val="0"/>
        <w:pageBreakBefore w:val="0"/>
        <w:widowControl/>
        <w:shd w:val="clear" w:color="auto" w:fill="FFFFFF"/>
        <w:kinsoku/>
        <w:wordWrap/>
        <w:overflowPunct/>
        <w:topLinePunct w:val="0"/>
        <w:autoSpaceDE/>
        <w:autoSpaceDN/>
        <w:bidi w:val="0"/>
        <w:spacing w:before="0" w:beforeAutospacing="0" w:after="0" w:afterAutospacing="0" w:line="574" w:lineRule="exact"/>
        <w:ind w:firstLine="640"/>
        <w:jc w:val="both"/>
        <w:textAlignment w:val="auto"/>
        <w:rPr>
          <w:rFonts w:hint="eastAsia" w:ascii="仿宋_GB2312" w:hAnsi="仿宋" w:eastAsia="仿宋_GB2312" w:cs="仿宋"/>
          <w:bCs/>
          <w:sz w:val="32"/>
          <w:szCs w:val="32"/>
        </w:rPr>
      </w:pPr>
      <w:r>
        <w:rPr>
          <w:rFonts w:hint="eastAsia" w:ascii="仿宋_GB2312" w:hAnsi="仿宋" w:eastAsia="仿宋_GB2312" w:cs="仿宋"/>
          <w:bCs/>
          <w:sz w:val="32"/>
          <w:szCs w:val="32"/>
        </w:rPr>
        <w:t>（九）协助和支持设置在本行政区域内不隶属于镇的国家机关和企事业单位工作，监督其遵守和执行国家的法律、法规和政策。</w:t>
      </w:r>
    </w:p>
    <w:p w14:paraId="5C98B3E2">
      <w:pPr>
        <w:pStyle w:val="6"/>
        <w:spacing w:before="0" w:beforeAutospacing="0" w:after="0" w:afterAutospacing="0" w:line="500" w:lineRule="exact"/>
        <w:ind w:firstLine="646"/>
        <w:jc w:val="both"/>
        <w:rPr>
          <w:rFonts w:ascii="Times New Roman" w:hAnsi="Times New Roman" w:eastAsia="黑体" w:cs="Times New Roman"/>
          <w:color w:val="333333"/>
          <w:sz w:val="31"/>
          <w:szCs w:val="31"/>
          <w:shd w:val="clear" w:color="auto" w:fill="FFFFFF"/>
        </w:rPr>
      </w:pPr>
      <w:r>
        <w:rPr>
          <w:rFonts w:hint="eastAsia" w:ascii="仿宋_GB2312" w:hAnsi="仿宋" w:eastAsia="仿宋_GB2312" w:cs="仿宋"/>
          <w:bCs/>
          <w:sz w:val="32"/>
          <w:szCs w:val="32"/>
        </w:rPr>
        <w:t>（十）承办本级党委、人大和上级交办的其它事项。</w:t>
      </w:r>
    </w:p>
    <w:p w14:paraId="4D7B13F4">
      <w:pPr>
        <w:pStyle w:val="6"/>
        <w:tabs>
          <w:tab w:val="right" w:pos="8691"/>
        </w:tabs>
        <w:adjustRightInd w:val="0"/>
        <w:snapToGrid w:val="0"/>
        <w:spacing w:before="0" w:beforeAutospacing="0" w:after="0" w:afterAutospacing="0" w:line="360" w:lineRule="auto"/>
        <w:ind w:firstLine="627" w:firstLineChars="196"/>
        <w:jc w:val="both"/>
        <w:rPr>
          <w:rFonts w:ascii="Times New Roman" w:hAnsi="Times New Roman" w:cs="Times New Roman"/>
          <w:sz w:val="32"/>
          <w:szCs w:val="32"/>
        </w:rPr>
      </w:pPr>
      <w:r>
        <w:rPr>
          <w:rFonts w:ascii="Times New Roman" w:hAnsi="Times New Roman" w:eastAsia="黑体" w:cs="Times New Roman"/>
          <w:color w:val="333333"/>
          <w:sz w:val="32"/>
          <w:szCs w:val="32"/>
          <w:shd w:val="clear" w:color="auto" w:fill="FFFFFF"/>
        </w:rPr>
        <w:t>二、部门预算单位构成</w:t>
      </w:r>
      <w:r>
        <w:rPr>
          <w:rFonts w:ascii="黑体" w:hAnsi="黑体" w:eastAsia="黑体"/>
          <w:bCs/>
          <w:color w:val="FF0000"/>
          <w:sz w:val="32"/>
          <w:szCs w:val="32"/>
        </w:rPr>
        <w:tab/>
      </w:r>
    </w:p>
    <w:p w14:paraId="48903EAB">
      <w:pPr>
        <w:pStyle w:val="11"/>
        <w:rPr>
          <w:rFonts w:hint="eastAsia"/>
          <w:shd w:val="clear" w:color="auto" w:fill="FFFFFF"/>
        </w:rPr>
      </w:pPr>
      <w:r>
        <w:rPr>
          <w:rFonts w:hint="eastAsia"/>
          <w:shd w:val="clear" w:color="auto" w:fill="FFFFFF"/>
          <w:lang w:eastAsia="zh-CN"/>
        </w:rPr>
        <w:t>歙县</w:t>
      </w:r>
      <w:r>
        <w:rPr>
          <w:rFonts w:hint="eastAsia"/>
          <w:shd w:val="clear" w:color="auto" w:fill="FFFFFF"/>
          <w:lang w:val="en-US" w:eastAsia="zh-CN"/>
        </w:rPr>
        <w:t>长陔乡人民政府</w:t>
      </w:r>
      <w:r>
        <w:rPr>
          <w:rFonts w:hint="eastAsia"/>
          <w:shd w:val="clear" w:color="auto" w:fill="FFFFFF"/>
          <w:lang w:val="en" w:eastAsia="zh-CN"/>
        </w:rPr>
        <w:t>2026年</w:t>
      </w:r>
      <w:r>
        <w:rPr>
          <w:shd w:val="clear" w:color="auto" w:fill="FFFFFF"/>
        </w:rPr>
        <w:t>度部门预算包括局本级预算和局属单位预算，纳入部门预算编制范围的单位共</w:t>
      </w:r>
      <w:r>
        <w:rPr>
          <w:rFonts w:hint="eastAsia"/>
          <w:shd w:val="clear" w:color="auto" w:fill="FFFFFF"/>
          <w:lang w:val="en-US" w:eastAsia="zh-CN"/>
        </w:rPr>
        <w:t>1</w:t>
      </w:r>
      <w:r>
        <w:rPr>
          <w:shd w:val="clear" w:color="auto" w:fill="FFFFFF"/>
        </w:rPr>
        <w:t>个，具体情况见下表。</w:t>
      </w:r>
    </w:p>
    <w:p w14:paraId="0CC1A5EB">
      <w:pPr>
        <w:pStyle w:val="6"/>
        <w:spacing w:before="0" w:beforeAutospacing="0" w:after="0" w:afterAutospacing="0" w:line="500" w:lineRule="exact"/>
        <w:jc w:val="both"/>
        <w:rPr>
          <w:rFonts w:ascii="Times New Roman" w:hAnsi="Times New Roman" w:eastAsia="仿宋_GB2312" w:cs="Times New Roman"/>
          <w:color w:val="333333"/>
          <w:sz w:val="31"/>
          <w:szCs w:val="31"/>
          <w:shd w:val="clear" w:color="auto" w:fill="FFFFFF"/>
        </w:rPr>
      </w:pPr>
    </w:p>
    <w:tbl>
      <w:tblPr>
        <w:tblStyle w:val="7"/>
        <w:tblW w:w="0" w:type="auto"/>
        <w:tblInd w:w="235" w:type="dxa"/>
        <w:shd w:val="clear" w:color="auto" w:fill="FFFFFF"/>
        <w:tblLayout w:type="fixed"/>
        <w:tblCellMar>
          <w:top w:w="0" w:type="dxa"/>
          <w:left w:w="0" w:type="dxa"/>
          <w:bottom w:w="0" w:type="dxa"/>
          <w:right w:w="0" w:type="dxa"/>
        </w:tblCellMar>
      </w:tblPr>
      <w:tblGrid>
        <w:gridCol w:w="728"/>
        <w:gridCol w:w="2695"/>
        <w:gridCol w:w="2625"/>
        <w:gridCol w:w="2618"/>
      </w:tblGrid>
      <w:tr w14:paraId="7E3C3A97">
        <w:tblPrEx>
          <w:shd w:val="clear" w:color="auto" w:fill="FFFFFF"/>
          <w:tblCellMar>
            <w:top w:w="0" w:type="dxa"/>
            <w:left w:w="0" w:type="dxa"/>
            <w:bottom w:w="0" w:type="dxa"/>
            <w:right w:w="0" w:type="dxa"/>
          </w:tblCellMar>
        </w:tblPrEx>
        <w:trPr>
          <w:trHeight w:val="390" w:hRule="atLeast"/>
        </w:trPr>
        <w:tc>
          <w:tcPr>
            <w:tcW w:w="728" w:type="dxa"/>
            <w:tcBorders>
              <w:top w:val="single" w:color="000000" w:sz="6" w:space="0"/>
              <w:left w:val="single" w:color="000000" w:sz="6" w:space="0"/>
              <w:bottom w:val="single" w:color="000000" w:sz="6" w:space="0"/>
              <w:right w:val="single" w:color="000000" w:sz="6" w:space="0"/>
            </w:tcBorders>
            <w:shd w:val="clear" w:color="auto" w:fill="FFFFFF"/>
            <w:noWrap w:val="0"/>
            <w:tcMar>
              <w:left w:w="105" w:type="dxa"/>
              <w:bottom w:w="0" w:type="dxa"/>
              <w:right w:w="105" w:type="dxa"/>
            </w:tcMar>
            <w:vAlign w:val="center"/>
          </w:tcPr>
          <w:p w14:paraId="182DC011">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序号</w:t>
            </w:r>
          </w:p>
        </w:tc>
        <w:tc>
          <w:tcPr>
            <w:tcW w:w="2695" w:type="dxa"/>
            <w:tcBorders>
              <w:top w:val="single" w:color="000000" w:sz="6" w:space="0"/>
              <w:left w:val="nil"/>
              <w:bottom w:val="single" w:color="000000" w:sz="6" w:space="0"/>
              <w:right w:val="single" w:color="000000" w:sz="6" w:space="0"/>
            </w:tcBorders>
            <w:shd w:val="clear" w:color="auto" w:fill="FFFFFF"/>
            <w:noWrap w:val="0"/>
            <w:tcMar>
              <w:left w:w="105" w:type="dxa"/>
              <w:bottom w:w="0" w:type="dxa"/>
              <w:right w:w="105" w:type="dxa"/>
            </w:tcMar>
            <w:vAlign w:val="center"/>
          </w:tcPr>
          <w:p w14:paraId="66BEAF72">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单位名称</w:t>
            </w:r>
          </w:p>
        </w:tc>
        <w:tc>
          <w:tcPr>
            <w:tcW w:w="2625" w:type="dxa"/>
            <w:tcBorders>
              <w:top w:val="single" w:color="000000" w:sz="6" w:space="0"/>
              <w:left w:val="nil"/>
              <w:bottom w:val="single" w:color="000000" w:sz="6" w:space="0"/>
              <w:right w:val="single" w:color="000000" w:sz="6" w:space="0"/>
            </w:tcBorders>
            <w:shd w:val="clear" w:color="auto" w:fill="FFFFFF"/>
            <w:noWrap w:val="0"/>
            <w:tcMar>
              <w:left w:w="0" w:type="dxa"/>
              <w:bottom w:w="0" w:type="dxa"/>
              <w:right w:w="0" w:type="dxa"/>
            </w:tcMar>
            <w:vAlign w:val="top"/>
          </w:tcPr>
          <w:p w14:paraId="4791A699">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单位性质</w:t>
            </w:r>
          </w:p>
        </w:tc>
        <w:tc>
          <w:tcPr>
            <w:tcW w:w="2618" w:type="dxa"/>
            <w:tcBorders>
              <w:top w:val="single" w:color="000000" w:sz="6" w:space="0"/>
              <w:left w:val="nil"/>
              <w:bottom w:val="single" w:color="000000" w:sz="6" w:space="0"/>
              <w:right w:val="single" w:color="000000" w:sz="6" w:space="0"/>
            </w:tcBorders>
            <w:shd w:val="clear" w:color="auto" w:fill="FFFFFF"/>
            <w:noWrap w:val="0"/>
            <w:tcMar>
              <w:left w:w="0" w:type="dxa"/>
              <w:bottom w:w="0" w:type="dxa"/>
              <w:right w:w="0" w:type="dxa"/>
            </w:tcMar>
            <w:vAlign w:val="top"/>
          </w:tcPr>
          <w:p w14:paraId="75EC9E5D">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备注</w:t>
            </w:r>
          </w:p>
        </w:tc>
      </w:tr>
      <w:tr w14:paraId="570204AA">
        <w:tblPrEx>
          <w:tblCellMar>
            <w:top w:w="0" w:type="dxa"/>
            <w:left w:w="0" w:type="dxa"/>
            <w:bottom w:w="0" w:type="dxa"/>
            <w:right w:w="0" w:type="dxa"/>
          </w:tblCellMar>
        </w:tblPrEx>
        <w:trPr>
          <w:trHeight w:val="465" w:hRule="atLeast"/>
        </w:trPr>
        <w:tc>
          <w:tcPr>
            <w:tcW w:w="728" w:type="dxa"/>
            <w:tcBorders>
              <w:top w:val="nil"/>
              <w:left w:val="single" w:color="000000" w:sz="6" w:space="0"/>
              <w:bottom w:val="single" w:color="000000" w:sz="6" w:space="0"/>
              <w:right w:val="single" w:color="000000" w:sz="6" w:space="0"/>
            </w:tcBorders>
            <w:shd w:val="clear" w:color="auto" w:fill="FFFFFF"/>
            <w:noWrap w:val="0"/>
            <w:tcMar>
              <w:left w:w="105" w:type="dxa"/>
              <w:bottom w:w="0" w:type="dxa"/>
              <w:right w:w="105" w:type="dxa"/>
            </w:tcMar>
            <w:vAlign w:val="center"/>
          </w:tcPr>
          <w:p w14:paraId="02402769">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1</w:t>
            </w:r>
          </w:p>
        </w:tc>
        <w:tc>
          <w:tcPr>
            <w:tcW w:w="2695" w:type="dxa"/>
            <w:tcBorders>
              <w:top w:val="nil"/>
              <w:left w:val="nil"/>
              <w:bottom w:val="single" w:color="000000" w:sz="6" w:space="0"/>
              <w:right w:val="single" w:color="000000" w:sz="6" w:space="0"/>
            </w:tcBorders>
            <w:shd w:val="clear" w:color="auto" w:fill="FFFFFF"/>
            <w:noWrap w:val="0"/>
            <w:tcMar>
              <w:left w:w="105" w:type="dxa"/>
              <w:bottom w:w="0" w:type="dxa"/>
              <w:right w:w="105" w:type="dxa"/>
            </w:tcMar>
            <w:vAlign w:val="center"/>
          </w:tcPr>
          <w:p w14:paraId="3CC3431A">
            <w:pPr>
              <w:pStyle w:val="6"/>
              <w:spacing w:before="0" w:beforeAutospacing="0" w:after="0" w:afterAutospacing="0" w:line="360" w:lineRule="atLeast"/>
              <w:rPr>
                <w:rFonts w:hint="eastAsia" w:ascii="仿宋_GB2312" w:hAnsi="Times New Roman" w:eastAsia="仿宋_GB2312" w:cs="Times New Roman"/>
              </w:rPr>
            </w:pPr>
            <w:r>
              <w:rPr>
                <w:rFonts w:hint="eastAsia" w:ascii="仿宋_GB2312" w:hAnsi="Times New Roman" w:eastAsia="仿宋_GB2312" w:cs="Times New Roman"/>
                <w:lang w:eastAsia="zh-CN"/>
              </w:rPr>
              <w:t>歙县</w:t>
            </w:r>
            <w:r>
              <w:rPr>
                <w:rFonts w:hint="eastAsia" w:ascii="仿宋_GB2312" w:hAnsi="Times New Roman" w:eastAsia="仿宋_GB2312" w:cs="Times New Roman"/>
                <w:lang w:val="en-US" w:eastAsia="zh-CN"/>
              </w:rPr>
              <w:t>长陔乡人民政府</w:t>
            </w:r>
            <w:r>
              <w:rPr>
                <w:rFonts w:hint="eastAsia" w:ascii="仿宋_GB2312" w:hAnsi="Times New Roman" w:eastAsia="仿宋_GB2312" w:cs="Times New Roman"/>
              </w:rPr>
              <w:t>本级</w:t>
            </w:r>
          </w:p>
        </w:tc>
        <w:tc>
          <w:tcPr>
            <w:tcW w:w="2625" w:type="dxa"/>
            <w:tcBorders>
              <w:top w:val="nil"/>
              <w:left w:val="nil"/>
              <w:bottom w:val="single" w:color="000000" w:sz="6" w:space="0"/>
              <w:right w:val="single" w:color="000000" w:sz="6" w:space="0"/>
            </w:tcBorders>
            <w:shd w:val="clear" w:color="auto" w:fill="FFFFFF"/>
            <w:noWrap w:val="0"/>
            <w:tcMar>
              <w:left w:w="0" w:type="dxa"/>
              <w:bottom w:w="0" w:type="dxa"/>
              <w:right w:w="0" w:type="dxa"/>
            </w:tcMar>
            <w:vAlign w:val="top"/>
          </w:tcPr>
          <w:p w14:paraId="2797B4B6">
            <w:pPr>
              <w:pStyle w:val="6"/>
              <w:spacing w:before="0" w:beforeAutospacing="0" w:after="0" w:afterAutospacing="0" w:line="360" w:lineRule="atLeast"/>
              <w:jc w:val="center"/>
              <w:rPr>
                <w:rFonts w:hint="eastAsia" w:ascii="仿宋_GB2312" w:hAnsi="Times New Roman" w:eastAsia="仿宋_GB2312" w:cs="Times New Roman"/>
              </w:rPr>
            </w:pPr>
            <w:r>
              <w:rPr>
                <w:rFonts w:hint="eastAsia" w:ascii="仿宋_GB2312" w:hAnsi="Times New Roman" w:eastAsia="仿宋_GB2312" w:cs="Times New Roman"/>
              </w:rPr>
              <w:t>行政单位</w:t>
            </w:r>
          </w:p>
        </w:tc>
        <w:tc>
          <w:tcPr>
            <w:tcW w:w="2618" w:type="dxa"/>
            <w:tcBorders>
              <w:top w:val="nil"/>
              <w:left w:val="nil"/>
              <w:bottom w:val="single" w:color="000000" w:sz="6" w:space="0"/>
              <w:right w:val="single" w:color="000000" w:sz="6" w:space="0"/>
            </w:tcBorders>
            <w:shd w:val="clear" w:color="auto" w:fill="FFFFFF"/>
            <w:noWrap w:val="0"/>
            <w:tcMar>
              <w:left w:w="0" w:type="dxa"/>
              <w:bottom w:w="0" w:type="dxa"/>
              <w:right w:w="0" w:type="dxa"/>
            </w:tcMar>
            <w:vAlign w:val="top"/>
          </w:tcPr>
          <w:p w14:paraId="5B4DEEF2">
            <w:pPr>
              <w:pStyle w:val="6"/>
              <w:spacing w:before="0" w:beforeAutospacing="0" w:after="0" w:afterAutospacing="0" w:line="360" w:lineRule="atLeast"/>
              <w:rPr>
                <w:rFonts w:hint="eastAsia" w:ascii="仿宋_GB2312" w:hAnsi="Times New Roman" w:eastAsia="仿宋_GB2312" w:cs="Times New Roman"/>
              </w:rPr>
            </w:pPr>
          </w:p>
        </w:tc>
      </w:tr>
    </w:tbl>
    <w:p w14:paraId="2F5C3F20">
      <w:pPr>
        <w:pStyle w:val="11"/>
        <w:rPr>
          <w:rFonts w:hint="eastAsia"/>
          <w:shd w:val="clear" w:color="auto" w:fill="FFFFFF"/>
        </w:rPr>
      </w:pPr>
    </w:p>
    <w:p w14:paraId="5EA8EF62">
      <w:pPr>
        <w:pStyle w:val="11"/>
        <w:rPr>
          <w:rFonts w:hint="eastAsia"/>
          <w:color w:val="333333"/>
          <w:shd w:val="clear" w:color="auto" w:fill="FFFFFF"/>
        </w:rPr>
      </w:pPr>
      <w:r>
        <w:rPr>
          <w:rFonts w:hint="eastAsia"/>
          <w:shd w:val="clear" w:color="auto" w:fill="FFFFFF"/>
        </w:rPr>
        <w:t>截至</w:t>
      </w:r>
      <w:r>
        <w:rPr>
          <w:rFonts w:hint="eastAsia"/>
          <w:shd w:val="clear" w:color="auto" w:fill="FFFFFF"/>
          <w:lang w:val="en" w:eastAsia="zh-CN"/>
        </w:rPr>
        <w:t>2025年</w:t>
      </w:r>
      <w:r>
        <w:rPr>
          <w:rFonts w:hint="eastAsia"/>
          <w:shd w:val="clear" w:color="auto" w:fill="FFFFFF"/>
        </w:rPr>
        <w:t>12月31日，</w:t>
      </w:r>
      <w:r>
        <w:rPr>
          <w:rFonts w:hint="eastAsia"/>
          <w:shd w:val="clear" w:color="auto" w:fill="FFFFFF"/>
          <w:lang w:eastAsia="zh-CN"/>
        </w:rPr>
        <w:t>歙县</w:t>
      </w:r>
      <w:r>
        <w:rPr>
          <w:rFonts w:hint="eastAsia"/>
          <w:shd w:val="clear" w:color="auto" w:fill="FFFFFF"/>
          <w:lang w:val="en-US" w:eastAsia="zh-CN"/>
        </w:rPr>
        <w:t>长陔乡人民政府</w:t>
      </w:r>
      <w:r>
        <w:rPr>
          <w:rFonts w:hint="eastAsia"/>
          <w:shd w:val="clear" w:color="auto" w:fill="FFFFFF"/>
        </w:rPr>
        <w:t>实有各类人员</w:t>
      </w:r>
      <w:r>
        <w:rPr>
          <w:rFonts w:hint="eastAsia"/>
          <w:shd w:val="clear" w:color="auto" w:fill="FFFFFF"/>
          <w:lang w:val="en-US" w:eastAsia="zh-CN"/>
        </w:rPr>
        <w:t>55</w:t>
      </w:r>
      <w:r>
        <w:rPr>
          <w:rFonts w:hint="eastAsia"/>
          <w:shd w:val="clear" w:color="auto" w:fill="FFFFFF"/>
        </w:rPr>
        <w:t>人，其中在职</w:t>
      </w:r>
      <w:r>
        <w:rPr>
          <w:rFonts w:hint="eastAsia"/>
          <w:shd w:val="clear" w:color="auto" w:fill="FFFFFF"/>
          <w:lang w:val="en-US" w:eastAsia="zh-CN"/>
        </w:rPr>
        <w:t>40</w:t>
      </w:r>
      <w:r>
        <w:rPr>
          <w:rFonts w:hint="eastAsia"/>
          <w:shd w:val="clear" w:color="auto" w:fill="FFFFFF"/>
        </w:rPr>
        <w:t>人、离休</w:t>
      </w:r>
      <w:r>
        <w:rPr>
          <w:rFonts w:hint="eastAsia"/>
          <w:shd w:val="clear" w:color="auto" w:fill="FFFFFF"/>
          <w:lang w:val="en-US" w:eastAsia="zh-CN"/>
        </w:rPr>
        <w:t>0</w:t>
      </w:r>
      <w:r>
        <w:rPr>
          <w:rFonts w:hint="eastAsia"/>
          <w:shd w:val="clear" w:color="auto" w:fill="FFFFFF"/>
        </w:rPr>
        <w:t>人、退休</w:t>
      </w:r>
      <w:r>
        <w:rPr>
          <w:rFonts w:hint="eastAsia"/>
          <w:shd w:val="clear" w:color="auto" w:fill="FFFFFF"/>
          <w:lang w:val="en-US" w:eastAsia="zh-CN"/>
        </w:rPr>
        <w:t>15</w:t>
      </w:r>
      <w:r>
        <w:rPr>
          <w:rFonts w:hint="eastAsia"/>
          <w:shd w:val="clear" w:color="auto" w:fill="FFFFFF"/>
        </w:rPr>
        <w:t>人。</w:t>
      </w:r>
    </w:p>
    <w:p w14:paraId="25B0C651">
      <w:pPr>
        <w:pStyle w:val="6"/>
        <w:spacing w:before="0" w:beforeAutospacing="0" w:after="0" w:afterAutospacing="0" w:line="500" w:lineRule="exact"/>
        <w:ind w:firstLine="645"/>
        <w:jc w:val="both"/>
        <w:rPr>
          <w:rFonts w:ascii="Times New Roman" w:hAnsi="Times New Roman" w:eastAsia="黑体" w:cs="Times New Roman"/>
          <w:color w:val="333333"/>
          <w:sz w:val="31"/>
          <w:szCs w:val="31"/>
          <w:shd w:val="clear" w:color="auto" w:fill="FFFFFF"/>
        </w:rPr>
      </w:pPr>
    </w:p>
    <w:p w14:paraId="41398FF1">
      <w:pPr>
        <w:pStyle w:val="6"/>
        <w:spacing w:before="0" w:beforeAutospacing="0" w:after="0" w:afterAutospacing="0" w:line="500" w:lineRule="exact"/>
        <w:ind w:firstLine="646"/>
        <w:jc w:val="both"/>
        <w:rPr>
          <w:rFonts w:ascii="黑体" w:hAnsi="黑体" w:eastAsia="黑体" w:cs="Times New Roman"/>
          <w:color w:val="333333"/>
          <w:sz w:val="32"/>
          <w:szCs w:val="32"/>
          <w:shd w:val="clear" w:color="auto" w:fill="FFFFFF"/>
        </w:rPr>
      </w:pPr>
      <w:r>
        <w:rPr>
          <w:rFonts w:ascii="黑体" w:hAnsi="黑体" w:eastAsia="黑体" w:cs="Times New Roman"/>
          <w:color w:val="333333"/>
          <w:sz w:val="32"/>
          <w:szCs w:val="32"/>
          <w:shd w:val="clear" w:color="auto" w:fill="FFFFFF"/>
        </w:rPr>
        <w:t>三、</w:t>
      </w:r>
      <w:r>
        <w:rPr>
          <w:rFonts w:hint="eastAsia" w:ascii="黑体" w:hAnsi="黑体" w:eastAsia="黑体" w:cs="Times New Roman"/>
          <w:color w:val="333333"/>
          <w:sz w:val="32"/>
          <w:szCs w:val="32"/>
          <w:shd w:val="clear" w:color="auto" w:fill="FFFFFF"/>
          <w:lang w:val="en" w:eastAsia="zh-CN"/>
        </w:rPr>
        <w:t>2026年</w:t>
      </w:r>
      <w:r>
        <w:rPr>
          <w:rFonts w:ascii="黑体" w:hAnsi="黑体" w:eastAsia="黑体" w:cs="Times New Roman"/>
          <w:color w:val="333333"/>
          <w:sz w:val="32"/>
          <w:szCs w:val="32"/>
          <w:shd w:val="clear" w:color="auto" w:fill="FFFFFF"/>
        </w:rPr>
        <w:t>度主要工作任务</w:t>
      </w:r>
    </w:p>
    <w:p w14:paraId="60DE1D0B">
      <w:pPr>
        <w:pStyle w:val="6"/>
        <w:widowControl w:val="0"/>
        <w:adjustRightInd w:val="0"/>
        <w:snapToGrid w:val="0"/>
        <w:spacing w:before="0" w:beforeAutospacing="0" w:after="0" w:afterAutospacing="0" w:line="560" w:lineRule="exact"/>
        <w:ind w:firstLine="480" w:firstLineChars="150"/>
        <w:jc w:val="both"/>
        <w:outlineLvl w:val="0"/>
        <w:rPr>
          <w:rFonts w:hint="eastAsia" w:ascii="TimesNewRoman" w:hAnsi="TimesNewRoman" w:eastAsia="仿宋_GB2312" w:cs="TimesNewRoman"/>
          <w:bCs/>
          <w:kern w:val="2"/>
          <w:sz w:val="32"/>
          <w:szCs w:val="32"/>
          <w:lang w:val="en-US" w:eastAsia="zh-CN"/>
        </w:rPr>
      </w:pPr>
      <w:r>
        <w:rPr>
          <w:rFonts w:hint="eastAsia" w:ascii="TimesNewRoman" w:hAnsi="TimesNewRoman" w:eastAsia="仿宋_GB2312" w:cs="TimesNewRoman"/>
          <w:bCs/>
          <w:kern w:val="2"/>
          <w:sz w:val="32"/>
          <w:szCs w:val="32"/>
          <w:lang w:val="en-US" w:eastAsia="zh-CN"/>
        </w:rPr>
        <w:t>全面深入贯彻党的二十大精神和二十届历届全会精神，以习近平新时代中国特色社会主义思想为指导，研学“三农”文件精神，把握“十五五规划”内容，统筹推进“五位一体”总体布局，协调推进“四个全面”战略布局，坚持稳中求进、提质增效的工作总基调，坚持新发展理念，挖掘发展新质生产力，发掘当地文化、食品特色，加强农文旅融合发展，坚持推动和落实高质量发展。</w:t>
      </w:r>
    </w:p>
    <w:p w14:paraId="6E3A45E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119" w:firstLine="643"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一是激活乡域动能，打造经济亮点。</w:t>
      </w:r>
      <w:r>
        <w:rPr>
          <w:rFonts w:hint="default" w:ascii="Times New Roman" w:hAnsi="Times New Roman" w:eastAsia="仿宋_GB2312" w:cs="Times New Roman"/>
          <w:b w:val="0"/>
          <w:bCs w:val="0"/>
          <w:color w:val="auto"/>
          <w:kern w:val="2"/>
          <w:sz w:val="32"/>
          <w:szCs w:val="32"/>
          <w:lang w:val="en-US" w:eastAsia="zh-CN" w:bidi="ar-SA"/>
        </w:rPr>
        <w:t>坚持“产业为先、项目为王、落地为重、见效为要”的理念，大力引项目、聚产业。立足资源禀赋和徽州天路区位优势，抓住省道F007歙县长陔岭隧道即将开通带来的历史性机遇，彻底打破交通瓶颈，深度融入区域旅游和经济发展。开展精准招商、以商招商、产业招商、乡情招商，扎实打好“组合拳”，全年力争引进亿元以上项目1个，千万元以上项目3个。聚焦“长陔香”公共品牌建设，提升山芋枣、笋干、火腿等传统特产的附加值和市场竞争力，推动从“卖原料”向“卖品牌”“卖文化”转变。深入推进农文旅融合发展，以“农业观光+文化体验+生态度假”为主线，开发“徽州天路”自驾游、长陔岭古道徒步、高山避暑休闲等特色旅游产品。鼓励发展精品民宿集群、农家乐升级版和乡土文创工坊，推动“绿水青山”向“金山银山”的有效转化。</w:t>
      </w:r>
    </w:p>
    <w:p w14:paraId="2A97FFE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119" w:firstLine="643"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二</w:t>
      </w:r>
      <w:r>
        <w:rPr>
          <w:rFonts w:hint="default" w:ascii="Times New Roman" w:hAnsi="Times New Roman" w:eastAsia="仿宋_GB2312" w:cs="Times New Roman"/>
          <w:b/>
          <w:bCs/>
          <w:color w:val="auto"/>
          <w:kern w:val="2"/>
          <w:sz w:val="32"/>
          <w:szCs w:val="32"/>
          <w:lang w:val="en-US" w:eastAsia="zh-CN" w:bidi="ar-SA"/>
        </w:rPr>
        <w:t>是改善人居环境，建设美丽家园。</w:t>
      </w:r>
      <w:r>
        <w:rPr>
          <w:rFonts w:hint="default" w:ascii="Times New Roman" w:hAnsi="Times New Roman" w:eastAsia="仿宋_GB2312" w:cs="Times New Roman"/>
          <w:b w:val="0"/>
          <w:bCs w:val="0"/>
          <w:color w:val="auto"/>
          <w:kern w:val="2"/>
          <w:sz w:val="32"/>
          <w:szCs w:val="32"/>
          <w:lang w:val="en-US" w:eastAsia="zh-CN" w:bidi="ar-SA"/>
        </w:rPr>
        <w:t>聚焦提升乡村品质，打好环境整治、污水巩固提升和乡风文明建设的“组合拳”。重点整治房前屋后乱搭乱建、墙面牛皮癣、公共场所乱堆乱放等“顽疾”。建立健全“户分类、村收集、乡转运”的生活垃圾处理长效管护机制，推行“门前三包”、网格化管理等制度，巩固整治成果。持续推行“1234”常态化运行维护工作机制专项行动，同步推进农村“厕所革命”后期管护，确保建得好、用得上、可持续。深入推进乡风文明建设，广泛开展文明家庭、美丽庭院、好媳妇好婆婆等评选活动，修订完善村规民约，提升乡村乡风文明和村民精神风貌。</w:t>
      </w:r>
    </w:p>
    <w:p w14:paraId="03F6A1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119" w:firstLine="643"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三</w:t>
      </w:r>
      <w:r>
        <w:rPr>
          <w:rFonts w:hint="default" w:ascii="Times New Roman" w:hAnsi="Times New Roman" w:eastAsia="仿宋_GB2312" w:cs="Times New Roman"/>
          <w:b/>
          <w:bCs/>
          <w:color w:val="auto"/>
          <w:kern w:val="2"/>
          <w:sz w:val="32"/>
          <w:szCs w:val="32"/>
          <w:lang w:val="en-US" w:eastAsia="zh-CN" w:bidi="ar-SA"/>
        </w:rPr>
        <w:t>是守护绿水青山，厚植生态本色。</w:t>
      </w:r>
      <w:r>
        <w:rPr>
          <w:rFonts w:hint="default" w:ascii="Times New Roman" w:hAnsi="Times New Roman" w:eastAsia="仿宋_GB2312" w:cs="Times New Roman"/>
          <w:b w:val="0"/>
          <w:bCs w:val="0"/>
          <w:color w:val="auto"/>
          <w:kern w:val="2"/>
          <w:sz w:val="32"/>
          <w:szCs w:val="32"/>
          <w:lang w:val="en-US" w:eastAsia="zh-CN" w:bidi="ar-SA"/>
        </w:rPr>
        <w:t>深入践行习近平生态文明思想，坚持以猛药去疴的决心和力度，持续打好蓝天、碧水、净土保卫战，严格落实“河长制”“林长制”“田长制”等制度，推动“三长”联动，形成监管合力。同步加大村里自查和乡级专项检查力度，对全乡范围内的环境突出问题进行全面、动态摸排，建立问题台账，实行销号管理，确保“发现一起、整改一起”，形成闭环管理。严厉打击非法采矿、盗伐林木、非法排污等环境违法行为。</w:t>
      </w:r>
    </w:p>
    <w:p w14:paraId="5C31869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119" w:firstLine="643" w:firstLineChars="200"/>
        <w:jc w:val="both"/>
        <w:textAlignment w:val="auto"/>
        <w:rPr>
          <w:rFonts w:hint="eastAsia"/>
          <w:color w:val="FF0000"/>
        </w:rPr>
      </w:pPr>
      <w:r>
        <w:rPr>
          <w:rFonts w:hint="eastAsia" w:ascii="Times New Roman" w:hAnsi="Times New Roman" w:eastAsia="仿宋_GB2312" w:cs="Times New Roman"/>
          <w:b/>
          <w:bCs/>
          <w:color w:val="auto"/>
          <w:kern w:val="2"/>
          <w:sz w:val="32"/>
          <w:szCs w:val="32"/>
          <w:lang w:val="en-US" w:eastAsia="zh-CN" w:bidi="ar-SA"/>
        </w:rPr>
        <w:t>四</w:t>
      </w:r>
      <w:r>
        <w:rPr>
          <w:rFonts w:hint="default" w:ascii="Times New Roman" w:hAnsi="Times New Roman" w:eastAsia="仿宋_GB2312" w:cs="Times New Roman"/>
          <w:b/>
          <w:bCs/>
          <w:color w:val="auto"/>
          <w:kern w:val="2"/>
          <w:sz w:val="32"/>
          <w:szCs w:val="32"/>
          <w:lang w:val="en-US" w:eastAsia="zh-CN" w:bidi="ar-SA"/>
        </w:rPr>
        <w:t>是深化基层治理，促进和谐稳定。</w:t>
      </w:r>
      <w:r>
        <w:rPr>
          <w:rFonts w:hint="default" w:ascii="Times New Roman" w:hAnsi="Times New Roman" w:eastAsia="仿宋_GB2312" w:cs="Times New Roman"/>
          <w:b w:val="0"/>
          <w:bCs w:val="0"/>
          <w:color w:val="auto"/>
          <w:kern w:val="2"/>
          <w:sz w:val="32"/>
          <w:szCs w:val="32"/>
          <w:lang w:val="en-US" w:eastAsia="zh-CN" w:bidi="ar-SA"/>
        </w:rPr>
        <w:t>持续深化“党建+基层微网格”“入户遍访”社会治理模式，推深做实“大接访大走访”，发挥好矛盾纠纷排查化解“四方责任清单”和“和茶吧”无讼服务点作用，扎实开展矛盾隐患走访排查化解工作，对各类矛盾纠纷和安全隐患进行全方位、全覆盖排查，坚持源头化解、精准整治、高效管控，要善于通过个案举一反三找到共性问题，加大同类问题的整治力度，以解决“一件事”带动解决“一类事”，努力把“问题清单”变成“解决清单”“温暖清单”和“幸福清单”。严格执行党的民族宗教政策，依法管理宗教事务，坚决抵制非法宗教活动和邪教渗透，防止封建迷信蔓延。持续深入开展“1+11”全域安全隐患排查整治专项行动，紧盯道路交通、项目建设、生态环保、农村自建房等重点行业领域和重点部位，建立隐患清单和整改台账，确保全乡安全生产形势持续稳定。加强食品药品安全监管，落实好食品安全“两个责任”分层分级包保工作，守护群众舌尖上的安全。健全应急管理机制，配强应急救援力量，提升防灾救灾减灾能力。</w:t>
      </w:r>
      <w:r>
        <w:rPr>
          <w:rFonts w:hint="default" w:ascii="Times New Roman" w:hAnsi="Times New Roman" w:eastAsia="仿宋_GB2312" w:cs="Times New Roman"/>
          <w:b w:val="0"/>
          <w:bCs/>
          <w:color w:val="auto"/>
          <w:sz w:val="32"/>
          <w:szCs w:val="32"/>
          <w:lang w:val="en-US" w:eastAsia="zh-CN"/>
        </w:rPr>
        <w:t xml:space="preserve">                        </w:t>
      </w:r>
    </w:p>
    <w:p w14:paraId="1C4836B0">
      <w:pPr>
        <w:pStyle w:val="6"/>
        <w:adjustRightInd w:val="0"/>
        <w:snapToGrid w:val="0"/>
        <w:spacing w:before="0" w:beforeAutospacing="0" w:after="0" w:afterAutospacing="0" w:line="360" w:lineRule="auto"/>
        <w:jc w:val="both"/>
        <w:rPr>
          <w:rFonts w:ascii="黑体" w:hAnsi="黑体" w:eastAsia="黑体" w:cs="Times New Roman"/>
          <w:bCs/>
          <w:sz w:val="36"/>
          <w:szCs w:val="36"/>
        </w:rPr>
      </w:pPr>
    </w:p>
    <w:p w14:paraId="3B1A26B4">
      <w:pPr>
        <w:pStyle w:val="6"/>
        <w:adjustRightInd w:val="0"/>
        <w:snapToGrid w:val="0"/>
        <w:spacing w:before="0" w:beforeAutospacing="0" w:after="0" w:afterAutospacing="0" w:line="360" w:lineRule="auto"/>
        <w:jc w:val="center"/>
        <w:rPr>
          <w:rFonts w:ascii="黑体" w:hAnsi="黑体" w:eastAsia="黑体" w:cs="Times New Roman"/>
          <w:bCs/>
          <w:sz w:val="36"/>
          <w:szCs w:val="36"/>
        </w:rPr>
      </w:pPr>
    </w:p>
    <w:p w14:paraId="6537F337">
      <w:pPr>
        <w:pStyle w:val="6"/>
        <w:adjustRightInd w:val="0"/>
        <w:snapToGrid w:val="0"/>
        <w:spacing w:before="0" w:beforeAutospacing="0" w:after="0" w:afterAutospacing="0" w:line="360" w:lineRule="auto"/>
        <w:jc w:val="center"/>
        <w:rPr>
          <w:rFonts w:ascii="黑体" w:hAnsi="黑体" w:eastAsia="黑体" w:cs="Times New Roman"/>
          <w:color w:val="333333"/>
          <w:sz w:val="31"/>
          <w:szCs w:val="31"/>
          <w:shd w:val="clear" w:color="auto" w:fill="FFFFFF"/>
        </w:rPr>
      </w:pPr>
      <w:bookmarkStart w:id="0" w:name="_GoBack"/>
      <w:bookmarkEnd w:id="0"/>
      <w:r>
        <w:rPr>
          <w:rFonts w:ascii="黑体" w:hAnsi="黑体" w:eastAsia="黑体" w:cs="Times New Roman"/>
          <w:bCs/>
          <w:sz w:val="36"/>
          <w:szCs w:val="36"/>
        </w:rPr>
        <w:t xml:space="preserve">第二部分   </w:t>
      </w:r>
      <w:r>
        <w:rPr>
          <w:rFonts w:hint="eastAsia" w:ascii="黑体" w:hAnsi="黑体" w:eastAsia="黑体" w:cs="Times New Roman"/>
          <w:bCs/>
          <w:sz w:val="36"/>
          <w:szCs w:val="36"/>
          <w:lang w:val="en" w:eastAsia="zh-CN"/>
        </w:rPr>
        <w:t>2026年</w:t>
      </w:r>
      <w:r>
        <w:rPr>
          <w:rFonts w:ascii="黑体" w:hAnsi="黑体" w:eastAsia="黑体" w:cs="Times New Roman"/>
          <w:bCs/>
          <w:sz w:val="36"/>
          <w:szCs w:val="36"/>
        </w:rPr>
        <w:t>部门预算表</w:t>
      </w:r>
    </w:p>
    <w:p w14:paraId="6DAD4849">
      <w:pPr>
        <w:pStyle w:val="11"/>
        <w:rPr>
          <w:shd w:val="clear" w:color="auto" w:fill="FFFFFF"/>
        </w:rPr>
      </w:pPr>
      <w:r>
        <w:rPr>
          <w:rFonts w:hint="eastAsia"/>
          <w:shd w:val="clear" w:color="auto" w:fill="FFFFFF"/>
          <w:lang w:eastAsia="zh-CN"/>
        </w:rPr>
        <w:t>歙县</w:t>
      </w:r>
      <w:r>
        <w:rPr>
          <w:rFonts w:hint="eastAsia"/>
          <w:shd w:val="clear" w:color="auto" w:fill="FFFFFF"/>
          <w:lang w:val="en-US" w:eastAsia="zh-CN"/>
        </w:rPr>
        <w:t>长陔乡人民政府</w:t>
      </w:r>
      <w:r>
        <w:rPr>
          <w:rFonts w:hint="eastAsia"/>
          <w:shd w:val="clear" w:color="auto" w:fill="FFFFFF"/>
          <w:lang w:val="en" w:eastAsia="zh-CN"/>
        </w:rPr>
        <w:t>2026年</w:t>
      </w:r>
      <w:r>
        <w:rPr>
          <w:shd w:val="clear" w:color="auto" w:fill="FFFFFF"/>
        </w:rPr>
        <w:t>部门预算表由1</w:t>
      </w:r>
      <w:r>
        <w:rPr>
          <w:rFonts w:hint="eastAsia"/>
          <w:shd w:val="clear" w:color="auto" w:fill="FFFFFF"/>
        </w:rPr>
        <w:t>4</w:t>
      </w:r>
      <w:r>
        <w:rPr>
          <w:shd w:val="clear" w:color="auto" w:fill="FFFFFF"/>
        </w:rPr>
        <w:t>张表格构成，具体</w:t>
      </w:r>
      <w:r>
        <w:rPr>
          <w:rFonts w:hint="eastAsia"/>
          <w:shd w:val="clear" w:color="auto" w:fill="FFFFFF"/>
        </w:rPr>
        <w:t>内容如下</w:t>
      </w:r>
      <w:r>
        <w:rPr>
          <w:shd w:val="clear" w:color="auto" w:fill="FFFFFF"/>
        </w:rPr>
        <w:t>。</w:t>
      </w:r>
    </w:p>
    <w:p w14:paraId="024FA5BF"/>
    <w:p w14:paraId="5C44E244"/>
    <w:p w14:paraId="1A66E693"/>
    <w:p w14:paraId="0A64D075"/>
    <w:p w14:paraId="30AC2A17"/>
    <w:p w14:paraId="4CBC7DFE"/>
    <w:p w14:paraId="445671FC"/>
    <w:p w14:paraId="01773553"/>
    <w:p w14:paraId="4BB12456"/>
    <w:p w14:paraId="0C84488C"/>
    <w:p w14:paraId="28438D92"/>
    <w:p w14:paraId="731012DE"/>
    <w:p w14:paraId="4D031189"/>
    <w:p w14:paraId="700A8805"/>
    <w:p w14:paraId="6FA381CE"/>
    <w:p w14:paraId="7C7C4585"/>
    <w:p w14:paraId="6D01E4E8"/>
    <w:p w14:paraId="091AA8F1"/>
    <w:p w14:paraId="687B3A48"/>
    <w:p w14:paraId="3813D643"/>
    <w:p w14:paraId="578E7493"/>
    <w:p w14:paraId="6D565D15"/>
    <w:p w14:paraId="7B938318"/>
    <w:p w14:paraId="60682AA4"/>
    <w:p w14:paraId="471A7A66"/>
    <w:p w14:paraId="3D164127"/>
    <w:p w14:paraId="17D26586"/>
    <w:p w14:paraId="25D85E9E"/>
    <w:p w14:paraId="1CFCB502"/>
    <w:p w14:paraId="4A4F7B69"/>
    <w:p w14:paraId="5FCBBADF"/>
    <w:p w14:paraId="7D2EE0E2"/>
    <w:p w14:paraId="2BD88350"/>
    <w:p w14:paraId="0D6FD81B">
      <w:r>
        <w:object>
          <v:shape id="_x0000_i1025" o:spt="75" type="#_x0000_t75" style="height:668.5pt;width:414.85pt;" o:ole="t" filled="f" o:preferrelative="t" stroked="f" coordsize="21600,21600">
            <v:path/>
            <v:fill on="f" focussize="0,0"/>
            <v:stroke on="f"/>
            <v:imagedata r:id="rId5" o:title=""/>
            <o:lock v:ext="edit" aspectratio="f"/>
            <w10:wrap type="none"/>
            <w10:anchorlock/>
          </v:shape>
          <o:OLEObject Type="Embed" ProgID="Excel.Sheet.8" ShapeID="_x0000_i1025" DrawAspect="Content" ObjectID="_1468075725" r:id="rId4">
            <o:LockedField>false</o:LockedField>
          </o:OLEObject>
        </w:object>
      </w:r>
    </w:p>
    <w:p w14:paraId="09837424"/>
    <w:p w14:paraId="5EA24AEA">
      <w:pPr>
        <w:sectPr>
          <w:type w:val="continuous"/>
          <w:pgSz w:w="11906" w:h="16838"/>
          <w:pgMar w:top="1440" w:right="1800" w:bottom="1440" w:left="1800" w:header="851" w:footer="992" w:gutter="0"/>
          <w:cols w:space="425" w:num="1"/>
          <w:docGrid w:type="lines" w:linePitch="312" w:charSpace="0"/>
        </w:sectPr>
      </w:pPr>
    </w:p>
    <w:p w14:paraId="62950125">
      <w:pPr>
        <w:sectPr>
          <w:type w:val="continuous"/>
          <w:pgSz w:w="11906" w:h="16838"/>
          <w:pgMar w:top="1440" w:right="1800" w:bottom="1440" w:left="1800" w:header="851" w:footer="992" w:gutter="0"/>
          <w:cols w:space="425" w:num="1"/>
          <w:docGrid w:type="lines" w:linePitch="312" w:charSpace="0"/>
        </w:sectPr>
      </w:pPr>
    </w:p>
    <w:p w14:paraId="369B5407">
      <w:r>
        <w:object>
          <v:shape id="_x0000_i1026" o:spt="75" type="#_x0000_t75" style="height:342.6pt;width:697.6pt;" o:ole="t" filled="f" o:preferrelative="t" stroked="f" coordsize="21600,21600">
            <v:path/>
            <v:fill on="f" focussize="0,0"/>
            <v:stroke on="f"/>
            <v:imagedata r:id="rId7" o:title=""/>
            <o:lock v:ext="edit" aspectratio="f"/>
            <w10:wrap type="none"/>
            <w10:anchorlock/>
          </v:shape>
          <o:OLEObject Type="Embed" ProgID="Excel.Sheet.8" ShapeID="_x0000_i1026" DrawAspect="Content" ObjectID="_1468075726" r:id="rId6">
            <o:LockedField>false</o:LockedField>
          </o:OLEObject>
        </w:object>
      </w:r>
    </w:p>
    <w:p w14:paraId="62896096"/>
    <w:p w14:paraId="2CDE0D5D"/>
    <w:p w14:paraId="51CCF604"/>
    <w:p w14:paraId="312A1C24">
      <w:pPr>
        <w:sectPr>
          <w:type w:val="continuous"/>
          <w:pgSz w:w="16838" w:h="11906" w:orient="landscape"/>
          <w:pgMar w:top="1800" w:right="1440" w:bottom="1800" w:left="1440" w:header="851" w:footer="992" w:gutter="0"/>
          <w:cols w:space="425" w:num="1"/>
          <w:docGrid w:type="lines" w:linePitch="312" w:charSpace="0"/>
        </w:sectPr>
      </w:pPr>
    </w:p>
    <w:p w14:paraId="0CCD0C79">
      <w:r>
        <w:object>
          <v:shape id="_x0000_i1027" o:spt="75" type="#_x0000_t75" style="height:672.95pt;width:415.2pt;" o:ole="t" filled="f" o:preferrelative="t" stroked="f" coordsize="21600,21600">
            <v:path/>
            <v:fill on="f" focussize="0,0"/>
            <v:stroke on="f"/>
            <v:imagedata r:id="rId9" o:title=""/>
            <o:lock v:ext="edit" aspectratio="f"/>
            <w10:wrap type="none"/>
            <w10:anchorlock/>
          </v:shape>
          <o:OLEObject Type="Embed" ProgID="Excel.Sheet.8" ShapeID="_x0000_i1027" DrawAspect="Content" ObjectID="_1468075727" r:id="rId8">
            <o:LockedField>false</o:LockedField>
          </o:OLEObject>
        </w:object>
      </w:r>
    </w:p>
    <w:p w14:paraId="62D5888A"/>
    <w:p w14:paraId="76C64E8D">
      <w:r>
        <w:object>
          <v:shape id="_x0000_i1028" o:spt="75" type="#_x0000_t75" style="height:653.25pt;width:415.15pt;" o:ole="t" filled="f" o:preferrelative="t" stroked="f" coordsize="21600,21600">
            <v:path/>
            <v:fill on="f" focussize="0,0"/>
            <v:stroke on="f"/>
            <v:imagedata r:id="rId11" o:title=""/>
            <o:lock v:ext="edit" aspectratio="f"/>
            <w10:wrap type="none"/>
            <w10:anchorlock/>
          </v:shape>
          <o:OLEObject Type="Embed" ProgID="Excel.Sheet.8" ShapeID="_x0000_i1028" DrawAspect="Content" ObjectID="_1468075728" r:id="rId10">
            <o:LockedField>false</o:LockedField>
          </o:OLEObject>
        </w:object>
      </w:r>
    </w:p>
    <w:p w14:paraId="5403457A">
      <w:r>
        <w:object>
          <v:shape id="_x0000_i1029" o:spt="75" type="#_x0000_t75" style="height:651.55pt;width:415.25pt;" o:ole="t" filled="f" o:preferrelative="t" stroked="f" coordsize="21600,21600">
            <v:path/>
            <v:fill on="f" focussize="0,0"/>
            <v:stroke on="f"/>
            <v:imagedata r:id="rId13" o:title=""/>
            <o:lock v:ext="edit" aspectratio="f"/>
            <w10:wrap type="none"/>
            <w10:anchorlock/>
          </v:shape>
          <o:OLEObject Type="Embed" ProgID="Excel.Sheet.8" ShapeID="_x0000_i1029" DrawAspect="Content" ObjectID="_1468075729" r:id="rId12">
            <o:LockedField>false</o:LockedField>
          </o:OLEObject>
        </w:object>
      </w:r>
    </w:p>
    <w:p w14:paraId="5724B1F1"/>
    <w:p w14:paraId="04172A4F"/>
    <w:p w14:paraId="5B785277"/>
    <w:p w14:paraId="6085FF7B">
      <w:r>
        <w:object>
          <v:shape id="_x0000_i1030" o:spt="75" type="#_x0000_t75" style="height:667.15pt;width:414.95pt;" o:ole="t" filled="f" o:preferrelative="t" stroked="f" coordsize="21600,21600">
            <v:path/>
            <v:fill on="f" focussize="0,0"/>
            <v:stroke on="f"/>
            <v:imagedata r:id="rId15" o:title=""/>
            <o:lock v:ext="edit" aspectratio="f"/>
            <w10:wrap type="none"/>
            <w10:anchorlock/>
          </v:shape>
          <o:OLEObject Type="Embed" ProgID="Excel.Sheet.8" ShapeID="_x0000_i1030" DrawAspect="Content" ObjectID="_1468075730" r:id="rId14">
            <o:LockedField>false</o:LockedField>
          </o:OLEObject>
        </w:object>
      </w:r>
    </w:p>
    <w:p w14:paraId="59A337CE">
      <w:r>
        <w:object>
          <v:shape id="_x0000_i1031" o:spt="75" type="#_x0000_t75" style="height:211.55pt;width:414.85pt;" o:ole="t" filled="f" o:preferrelative="t" stroked="f" coordsize="21600,21600">
            <v:path/>
            <v:fill on="f" focussize="0,0"/>
            <v:stroke on="f"/>
            <v:imagedata r:id="rId17" o:title=""/>
            <o:lock v:ext="edit" aspectratio="f"/>
            <w10:wrap type="none"/>
            <w10:anchorlock/>
          </v:shape>
          <o:OLEObject Type="Embed" ProgID="Excel.Sheet.8" ShapeID="_x0000_i1031" DrawAspect="Content" ObjectID="_1468075731" r:id="rId16">
            <o:LockedField>false</o:LockedField>
          </o:OLEObject>
        </w:object>
      </w:r>
    </w:p>
    <w:p w14:paraId="7BE7EEE8">
      <w:pPr>
        <w:pStyle w:val="11"/>
        <w:rPr>
          <w:rFonts w:hint="eastAsia"/>
          <w:highlight w:val="yellow"/>
          <w:lang w:val="en-US" w:eastAsia="zh-CN"/>
        </w:rPr>
      </w:pPr>
      <w:r>
        <w:rPr>
          <w:rFonts w:hint="eastAsia"/>
          <w:highlight w:val="none"/>
          <w:lang w:val="en-US" w:eastAsia="zh-CN"/>
        </w:rPr>
        <w:t>注: 歙县长陔乡人民政府没有政府性基金预算拨款收入，也没有政府性基金预算拨款安排的支出，故本表无数据。</w:t>
      </w:r>
    </w:p>
    <w:p w14:paraId="17397889"/>
    <w:p w14:paraId="1908BB1D"/>
    <w:p w14:paraId="0540C02E">
      <w:r>
        <w:object>
          <v:shape id="_x0000_i1032" o:spt="75" type="#_x0000_t75" style="height:235.75pt;width:414.85pt;" o:ole="t" filled="f" o:preferrelative="t" stroked="f" coordsize="21600,21600">
            <v:path/>
            <v:fill on="f" focussize="0,0"/>
            <v:stroke on="f"/>
            <v:imagedata r:id="rId19" o:title=""/>
            <o:lock v:ext="edit" aspectratio="f"/>
            <w10:wrap type="none"/>
            <w10:anchorlock/>
          </v:shape>
          <o:OLEObject Type="Embed" ProgID="Excel.Sheet.8" ShapeID="_x0000_i1032" DrawAspect="Content" ObjectID="_1468075732" r:id="rId18">
            <o:LockedField>false</o:LockedField>
          </o:OLEObject>
        </w:object>
      </w:r>
    </w:p>
    <w:p w14:paraId="7078569E">
      <w:pPr>
        <w:pStyle w:val="11"/>
        <w:rPr>
          <w:rFonts w:hint="eastAsia"/>
          <w:highlight w:val="yellow"/>
          <w:lang w:val="en-US" w:eastAsia="zh-CN"/>
        </w:rPr>
      </w:pPr>
      <w:r>
        <w:rPr>
          <w:rFonts w:hint="eastAsia"/>
          <w:highlight w:val="none"/>
          <w:lang w:val="en-US" w:eastAsia="zh-CN"/>
        </w:rPr>
        <w:t>注: 歙县长陔乡人民政府没有国有资本经营预算拨款收入，也没有国有资本经营预算拨款安排的支出，故本表无数据。</w:t>
      </w:r>
    </w:p>
    <w:p w14:paraId="1DE604DC"/>
    <w:p w14:paraId="267E0A2A"/>
    <w:p w14:paraId="2C1C0610"/>
    <w:p w14:paraId="12556B63">
      <w:pPr>
        <w:rPr>
          <w:rFonts w:hint="eastAsia"/>
          <w:lang w:val="en-US" w:eastAsia="zh-CN"/>
        </w:rPr>
      </w:pPr>
      <w:r>
        <w:rPr>
          <w:rFonts w:hint="eastAsia"/>
          <w:lang w:val="en-US" w:eastAsia="zh-CN"/>
        </w:rPr>
        <w:object>
          <v:shape id="_x0000_i1033" o:spt="75" type="#_x0000_t75" style="height:652.35pt;width:414.95pt;" o:ole="t" filled="f" o:preferrelative="t" stroked="f" coordsize="21600,21600">
            <v:path/>
            <v:fill on="f" focussize="0,0"/>
            <v:stroke on="f"/>
            <v:imagedata r:id="rId21" o:title=""/>
            <o:lock v:ext="edit" aspectratio="f"/>
            <w10:wrap type="none"/>
            <w10:anchorlock/>
          </v:shape>
          <o:OLEObject Type="Embed" ProgID="Excel.Sheet.8" ShapeID="_x0000_i1033" DrawAspect="Content" ObjectID="_1468075733" r:id="rId20">
            <o:LockedField>false</o:LockedField>
          </o:OLEObject>
        </w:object>
      </w:r>
    </w:p>
    <w:p w14:paraId="6FE249C9">
      <w:pPr>
        <w:rPr>
          <w:rFonts w:hint="eastAsia"/>
          <w:lang w:val="en-US" w:eastAsia="zh-CN"/>
        </w:rPr>
      </w:pPr>
    </w:p>
    <w:p w14:paraId="7F22F265">
      <w:pPr>
        <w:rPr>
          <w:rFonts w:hint="eastAsia"/>
          <w:lang w:val="en-US" w:eastAsia="zh-CN"/>
        </w:rPr>
        <w:sectPr>
          <w:type w:val="continuous"/>
          <w:pgSz w:w="11906" w:h="16838"/>
          <w:pgMar w:top="1440" w:right="1800" w:bottom="1440" w:left="1800" w:header="851" w:footer="992" w:gutter="0"/>
          <w:cols w:space="425" w:num="1"/>
          <w:docGrid w:type="lines" w:linePitch="312" w:charSpace="0"/>
        </w:sectPr>
      </w:pPr>
    </w:p>
    <w:p w14:paraId="2B9C6C48">
      <w:pPr>
        <w:rPr>
          <w:rFonts w:hint="eastAsia"/>
          <w:lang w:val="en-US" w:eastAsia="zh-CN"/>
        </w:rPr>
      </w:pPr>
    </w:p>
    <w:p w14:paraId="09470E45">
      <w:pPr>
        <w:rPr>
          <w:rFonts w:hint="eastAsia"/>
          <w:lang w:val="en-US" w:eastAsia="zh-CN"/>
        </w:rPr>
        <w:sectPr>
          <w:type w:val="continuous"/>
          <w:pgSz w:w="16838" w:h="11906" w:orient="landscape"/>
          <w:pgMar w:top="1800" w:right="1440" w:bottom="1800" w:left="1440" w:header="851" w:footer="992" w:gutter="0"/>
          <w:cols w:space="425" w:num="1"/>
          <w:docGrid w:type="lines" w:linePitch="312" w:charSpace="0"/>
        </w:sectPr>
      </w:pPr>
    </w:p>
    <w:p w14:paraId="7A9AF226">
      <w:pPr>
        <w:rPr>
          <w:rFonts w:hint="eastAsia"/>
          <w:lang w:val="en-US" w:eastAsia="zh-CN"/>
        </w:rPr>
      </w:pPr>
      <w:r>
        <w:rPr>
          <w:rFonts w:hint="eastAsia"/>
          <w:lang w:val="en-US" w:eastAsia="zh-CN"/>
        </w:rPr>
        <w:object>
          <v:shape id="_x0000_i1034" o:spt="75" type="#_x0000_t75" style="height:333.75pt;width:697.35pt;" o:ole="t" filled="f" o:preferrelative="t" stroked="f" coordsize="21600,21600">
            <v:path/>
            <v:fill on="f" focussize="0,0"/>
            <v:stroke on="f"/>
            <v:imagedata r:id="rId23" o:title=""/>
            <o:lock v:ext="edit" aspectratio="f"/>
            <w10:wrap type="none"/>
            <w10:anchorlock/>
          </v:shape>
          <o:OLEObject Type="Embed" ProgID="Excel.Sheet.8" ShapeID="_x0000_i1034" DrawAspect="Content" ObjectID="_1468075734" r:id="rId22">
            <o:LockedField>false</o:LockedField>
          </o:OLEObject>
        </w:object>
      </w:r>
    </w:p>
    <w:p w14:paraId="498540E5">
      <w:pPr>
        <w:rPr>
          <w:rFonts w:hint="eastAsia"/>
          <w:lang w:val="en-US" w:eastAsia="zh-CN"/>
        </w:rPr>
        <w:sectPr>
          <w:type w:val="continuous"/>
          <w:pgSz w:w="16838" w:h="11906" w:orient="landscape"/>
          <w:pgMar w:top="1800" w:right="1440" w:bottom="1800" w:left="1440" w:header="851" w:footer="992" w:gutter="0"/>
          <w:cols w:space="425" w:num="1"/>
          <w:docGrid w:type="lines" w:linePitch="312" w:charSpace="0"/>
        </w:sectPr>
      </w:pPr>
    </w:p>
    <w:p w14:paraId="57AEB354">
      <w:pPr>
        <w:rPr>
          <w:rFonts w:hint="eastAsia"/>
          <w:lang w:val="en-US" w:eastAsia="zh-CN"/>
        </w:rPr>
      </w:pPr>
    </w:p>
    <w:p w14:paraId="50C9006B">
      <w:pPr>
        <w:rPr>
          <w:rFonts w:hint="eastAsia"/>
          <w:lang w:val="en-US" w:eastAsia="zh-CN"/>
        </w:rPr>
      </w:pPr>
    </w:p>
    <w:p w14:paraId="242E159E">
      <w:pPr>
        <w:rPr>
          <w:rFonts w:hint="eastAsia"/>
          <w:lang w:val="en-US" w:eastAsia="zh-CN"/>
        </w:rPr>
      </w:pPr>
    </w:p>
    <w:p w14:paraId="0C6E0715">
      <w:pPr>
        <w:rPr>
          <w:rFonts w:hint="eastAsia"/>
          <w:lang w:val="en-US" w:eastAsia="zh-CN"/>
        </w:rPr>
      </w:pPr>
      <w:r>
        <w:rPr>
          <w:rFonts w:hint="eastAsia"/>
          <w:lang w:val="en-US" w:eastAsia="zh-CN"/>
        </w:rPr>
        <w:object>
          <v:shape id="_x0000_i1035" o:spt="75" type="#_x0000_t75" style="height:270.95pt;width:697.65pt;" o:ole="t" filled="f" o:preferrelative="t" stroked="f" coordsize="21600,21600">
            <v:path/>
            <v:fill on="f" focussize="0,0"/>
            <v:stroke on="f"/>
            <v:imagedata r:id="rId25" o:title=""/>
            <o:lock v:ext="edit" aspectratio="f"/>
            <w10:wrap type="none"/>
            <w10:anchorlock/>
          </v:shape>
          <o:OLEObject Type="Embed" ProgID="Excel.Sheet.8" ShapeID="_x0000_i1035" DrawAspect="Content" ObjectID="_1468075735" r:id="rId24">
            <o:LockedField>false</o:LockedField>
          </o:OLEObject>
        </w:object>
      </w:r>
    </w:p>
    <w:p w14:paraId="12DEE0C0">
      <w:pPr>
        <w:rPr>
          <w:rFonts w:hint="eastAsia"/>
          <w:lang w:val="en-US" w:eastAsia="zh-CN"/>
        </w:rPr>
      </w:pPr>
    </w:p>
    <w:p w14:paraId="05A6FC88">
      <w:pPr>
        <w:rPr>
          <w:rFonts w:hint="eastAsia"/>
          <w:lang w:val="en-US" w:eastAsia="zh-CN"/>
        </w:rPr>
      </w:pPr>
    </w:p>
    <w:p w14:paraId="3EFB01A4">
      <w:pPr>
        <w:rPr>
          <w:rFonts w:hint="eastAsia"/>
          <w:lang w:val="en-US" w:eastAsia="zh-CN"/>
        </w:rPr>
      </w:pPr>
    </w:p>
    <w:p w14:paraId="0C38EB7F">
      <w:pPr>
        <w:rPr>
          <w:rFonts w:hint="eastAsia"/>
          <w:lang w:val="en-US" w:eastAsia="zh-CN"/>
        </w:rPr>
      </w:pPr>
    </w:p>
    <w:p w14:paraId="38FC3BFE">
      <w:pPr>
        <w:rPr>
          <w:rFonts w:hint="eastAsia"/>
          <w:lang w:val="en-US" w:eastAsia="zh-CN"/>
        </w:rPr>
      </w:pPr>
    </w:p>
    <w:p w14:paraId="733FA49E">
      <w:pPr>
        <w:rPr>
          <w:rFonts w:hint="eastAsia"/>
          <w:lang w:val="en-US" w:eastAsia="zh-CN"/>
        </w:rPr>
      </w:pPr>
    </w:p>
    <w:p w14:paraId="31A624F2">
      <w:pPr>
        <w:rPr>
          <w:rFonts w:hint="eastAsia"/>
          <w:lang w:val="en-US" w:eastAsia="zh-CN"/>
        </w:rPr>
      </w:pPr>
      <w:r>
        <w:rPr>
          <w:rFonts w:hint="eastAsia"/>
          <w:lang w:val="en-US" w:eastAsia="zh-CN"/>
        </w:rPr>
        <w:object>
          <v:shape id="_x0000_i1036" o:spt="75" type="#_x0000_t75" style="height:254.5pt;width:697.05pt;" o:ole="t" filled="f" o:preferrelative="t" stroked="f" coordsize="21600,21600">
            <v:path/>
            <v:fill on="f" focussize="0,0"/>
            <v:stroke on="f"/>
            <v:imagedata r:id="rId27" o:title=""/>
            <o:lock v:ext="edit" aspectratio="f"/>
            <w10:wrap type="none"/>
            <w10:anchorlock/>
          </v:shape>
          <o:OLEObject Type="Embed" ProgID="Excel.Sheet.8" ShapeID="_x0000_i1036" DrawAspect="Content" ObjectID="_1468075736" r:id="rId26">
            <o:LockedField>false</o:LockedField>
          </o:OLEObject>
        </w:object>
      </w:r>
    </w:p>
    <w:p w14:paraId="597EC324">
      <w:pPr>
        <w:rPr>
          <w:rFonts w:hint="eastAsia"/>
          <w:lang w:val="en-US" w:eastAsia="zh-CN"/>
        </w:rPr>
      </w:pPr>
    </w:p>
    <w:p w14:paraId="52AA7B41">
      <w:pPr>
        <w:rPr>
          <w:rFonts w:hint="eastAsia"/>
          <w:lang w:val="en-US" w:eastAsia="zh-CN"/>
        </w:rPr>
      </w:pPr>
    </w:p>
    <w:p w14:paraId="5270A9C7">
      <w:pPr>
        <w:rPr>
          <w:rFonts w:hint="eastAsia"/>
          <w:lang w:val="en-US" w:eastAsia="zh-CN"/>
        </w:rPr>
      </w:pPr>
    </w:p>
    <w:p w14:paraId="3A67EB87">
      <w:pPr>
        <w:rPr>
          <w:rFonts w:hint="eastAsia"/>
          <w:lang w:val="en-US" w:eastAsia="zh-CN"/>
        </w:rPr>
      </w:pPr>
    </w:p>
    <w:p w14:paraId="4E6500EA">
      <w:pPr>
        <w:rPr>
          <w:rFonts w:hint="eastAsia"/>
          <w:lang w:val="en-US" w:eastAsia="zh-CN"/>
        </w:rPr>
      </w:pPr>
    </w:p>
    <w:p w14:paraId="37537EEC">
      <w:pPr>
        <w:rPr>
          <w:rFonts w:hint="eastAsia"/>
          <w:lang w:val="en-US" w:eastAsia="zh-CN"/>
        </w:rPr>
      </w:pPr>
    </w:p>
    <w:p w14:paraId="150B6A8F">
      <w:pPr>
        <w:rPr>
          <w:rFonts w:hint="eastAsia"/>
          <w:lang w:val="en-US" w:eastAsia="zh-CN"/>
        </w:rPr>
      </w:pPr>
    </w:p>
    <w:p w14:paraId="77D61A2E">
      <w:pPr>
        <w:rPr>
          <w:rFonts w:hint="eastAsia"/>
          <w:lang w:val="en-US" w:eastAsia="zh-CN"/>
        </w:rPr>
      </w:pPr>
    </w:p>
    <w:p w14:paraId="7258D5F6">
      <w:pPr>
        <w:rPr>
          <w:rFonts w:hint="eastAsia"/>
          <w:lang w:val="en-US" w:eastAsia="zh-CN"/>
        </w:rPr>
      </w:pPr>
    </w:p>
    <w:p w14:paraId="68B723F0">
      <w:pPr>
        <w:rPr>
          <w:rFonts w:hint="eastAsia"/>
          <w:lang w:val="en-US" w:eastAsia="zh-CN"/>
        </w:rPr>
        <w:sectPr>
          <w:type w:val="continuous"/>
          <w:pgSz w:w="16838" w:h="11906" w:orient="landscape"/>
          <w:pgMar w:top="1800" w:right="1440" w:bottom="1800" w:left="1440" w:header="851" w:footer="992" w:gutter="0"/>
          <w:cols w:space="425" w:num="1"/>
          <w:docGrid w:type="lines" w:linePitch="312" w:charSpace="0"/>
        </w:sectPr>
      </w:pPr>
      <w:r>
        <w:rPr>
          <w:rFonts w:hint="eastAsia"/>
          <w:lang w:val="en-US" w:eastAsia="zh-CN"/>
        </w:rPr>
        <w:object>
          <v:shape id="_x0000_i1037" o:spt="75" type="#_x0000_t75" style="height:406.4pt;width:697.65pt;" o:ole="t" filled="f" o:preferrelative="t" stroked="f" coordsize="21600,21600">
            <v:path/>
            <v:fill on="f" focussize="0,0"/>
            <v:stroke on="f"/>
            <v:imagedata r:id="rId29" o:title=""/>
            <o:lock v:ext="edit" aspectratio="f"/>
            <w10:wrap type="none"/>
            <w10:anchorlock/>
          </v:shape>
          <o:OLEObject Type="Embed" ProgID="Excel.Sheet.8" ShapeID="_x0000_i1037" DrawAspect="Content" ObjectID="_1468075737" r:id="rId28">
            <o:LockedField>false</o:LockedField>
          </o:OLEObject>
        </w:object>
      </w:r>
    </w:p>
    <w:p w14:paraId="0B84CA8E">
      <w:pPr>
        <w:rPr>
          <w:rFonts w:hint="eastAsia"/>
          <w:lang w:val="en-US" w:eastAsia="zh-CN"/>
        </w:rPr>
      </w:pPr>
      <w:r>
        <w:rPr>
          <w:rFonts w:hint="eastAsia"/>
          <w:lang w:val="en-US" w:eastAsia="zh-CN"/>
        </w:rPr>
        <w:object>
          <v:shape id="_x0000_i1038" o:spt="75" type="#_x0000_t75" style="height:388.45pt;width:697.65pt;" o:ole="t" filled="f" o:preferrelative="t" stroked="f" coordsize="21600,21600">
            <v:path/>
            <v:fill on="f" focussize="0,0"/>
            <v:stroke on="f"/>
            <v:imagedata r:id="rId31" o:title=""/>
            <o:lock v:ext="edit" aspectratio="f"/>
            <w10:wrap type="none"/>
            <w10:anchorlock/>
          </v:shape>
          <o:OLEObject Type="Embed" ProgID="Excel.Sheet.8" ShapeID="_x0000_i1038" DrawAspect="Content" ObjectID="_1468075738" r:id="rId30">
            <o:LockedField>false</o:LockedField>
          </o:OLEObject>
        </w:object>
      </w:r>
    </w:p>
    <w:p w14:paraId="17FF1700">
      <w:pPr>
        <w:rPr>
          <w:rFonts w:hint="eastAsia"/>
          <w:lang w:val="en-US" w:eastAsia="zh-CN"/>
        </w:rPr>
      </w:pPr>
    </w:p>
    <w:p w14:paraId="5C59DF2D">
      <w:pPr>
        <w:rPr>
          <w:rFonts w:hint="eastAsia"/>
          <w:lang w:val="en-US" w:eastAsia="zh-CN"/>
        </w:rPr>
      </w:pPr>
      <w:r>
        <w:rPr>
          <w:rFonts w:hint="eastAsia"/>
          <w:lang w:val="en-US" w:eastAsia="zh-CN"/>
        </w:rPr>
        <w:object>
          <v:shape id="_x0000_i1039" o:spt="75" type="#_x0000_t75" style="height:397.7pt;width:697.65pt;" o:ole="t" filled="f" o:preferrelative="t" stroked="f" coordsize="21600,21600">
            <v:path/>
            <v:fill on="f" focussize="0,0"/>
            <v:stroke on="f"/>
            <v:imagedata r:id="rId33" o:title=""/>
            <o:lock v:ext="edit" aspectratio="f"/>
            <w10:wrap type="none"/>
            <w10:anchorlock/>
          </v:shape>
          <o:OLEObject Type="Embed" ProgID="Excel.Sheet.8" ShapeID="_x0000_i1039" DrawAspect="Content" ObjectID="_1468075739" r:id="rId32">
            <o:LockedField>false</o:LockedField>
          </o:OLEObject>
        </w:object>
      </w:r>
    </w:p>
    <w:p w14:paraId="5E80FDBF">
      <w:pPr>
        <w:rPr>
          <w:rFonts w:hint="eastAsia"/>
          <w:lang w:val="en-US" w:eastAsia="zh-CN"/>
        </w:rPr>
        <w:sectPr>
          <w:type w:val="continuous"/>
          <w:pgSz w:w="16838" w:h="11906" w:orient="landscape"/>
          <w:pgMar w:top="1800" w:right="1440" w:bottom="1800" w:left="1440" w:header="851" w:footer="992" w:gutter="0"/>
          <w:cols w:space="425" w:num="1"/>
          <w:docGrid w:type="lines" w:linePitch="312" w:charSpace="0"/>
        </w:sectPr>
      </w:pPr>
      <w:r>
        <w:rPr>
          <w:rFonts w:hint="eastAsia"/>
          <w:lang w:val="en-US" w:eastAsia="zh-CN"/>
        </w:rPr>
        <w:object>
          <v:shape id="_x0000_i1040" o:spt="75" type="#_x0000_t75" style="height:404.95pt;width:697.65pt;" o:ole="t" filled="f" o:preferrelative="t" stroked="f" coordsize="21600,21600">
            <v:path/>
            <v:fill on="f" focussize="0,0"/>
            <v:stroke on="f"/>
            <v:imagedata r:id="rId35" o:title=""/>
            <o:lock v:ext="edit" aspectratio="f"/>
            <w10:wrap type="none"/>
            <w10:anchorlock/>
          </v:shape>
          <o:OLEObject Type="Embed" ProgID="Excel.Sheet.8" ShapeID="_x0000_i1040" DrawAspect="Content" ObjectID="_1468075740" r:id="rId34">
            <o:LockedField>false</o:LockedField>
          </o:OLEObject>
        </w:object>
      </w:r>
    </w:p>
    <w:p w14:paraId="3EDD17A0">
      <w:pPr>
        <w:rPr>
          <w:rFonts w:hint="eastAsia"/>
          <w:lang w:val="en-US" w:eastAsia="zh-CN"/>
        </w:rPr>
      </w:pPr>
    </w:p>
    <w:p w14:paraId="127AF177">
      <w:pPr>
        <w:rPr>
          <w:rFonts w:hint="eastAsia"/>
          <w:lang w:val="en-US" w:eastAsia="zh-CN"/>
        </w:rPr>
      </w:pPr>
    </w:p>
    <w:p w14:paraId="5F571B66">
      <w:pPr>
        <w:rPr>
          <w:rFonts w:hint="eastAsia"/>
          <w:lang w:val="en-US" w:eastAsia="zh-CN"/>
        </w:rPr>
        <w:sectPr>
          <w:type w:val="continuous"/>
          <w:pgSz w:w="16838" w:h="11906" w:orient="landscape"/>
          <w:pgMar w:top="1800" w:right="1440" w:bottom="1800" w:left="1440" w:header="851" w:footer="992" w:gutter="0"/>
          <w:cols w:space="425" w:num="1"/>
          <w:docGrid w:type="lines" w:linePitch="312" w:charSpace="0"/>
        </w:sectPr>
      </w:pPr>
      <w:r>
        <w:rPr>
          <w:rFonts w:hint="eastAsia"/>
          <w:lang w:val="en-US" w:eastAsia="zh-CN"/>
        </w:rPr>
        <w:object>
          <v:shape id="_x0000_i1041" o:spt="75" type="#_x0000_t75" style="height:240pt;width:697.3pt;" o:ole="t" filled="f" o:preferrelative="t" stroked="f" coordsize="21600,21600">
            <v:path/>
            <v:fill on="f" focussize="0,0"/>
            <v:stroke on="f"/>
            <v:imagedata r:id="rId37" o:title=""/>
            <o:lock v:ext="edit" aspectratio="f"/>
            <w10:wrap type="none"/>
            <w10:anchorlock/>
          </v:shape>
          <o:OLEObject Type="Embed" ProgID="Excel.Sheet.8" ShapeID="_x0000_i1041" DrawAspect="Content" ObjectID="_1468075741" r:id="rId36">
            <o:LockedField>false</o:LockedField>
          </o:OLEObject>
        </w:object>
      </w:r>
    </w:p>
    <w:p w14:paraId="7A905A09">
      <w:pPr>
        <w:pStyle w:val="11"/>
        <w:ind w:left="0" w:leftChars="0" w:firstLine="0" w:firstLineChars="0"/>
        <w:rPr>
          <w:rFonts w:hint="eastAsia"/>
          <w:highlight w:val="none"/>
          <w:lang w:val="en-US" w:eastAsia="zh-CN"/>
        </w:rPr>
      </w:pPr>
    </w:p>
    <w:p w14:paraId="2AC7D689">
      <w:pPr>
        <w:pStyle w:val="11"/>
        <w:ind w:left="0" w:leftChars="0" w:firstLine="0" w:firstLineChars="0"/>
        <w:rPr>
          <w:rFonts w:hint="eastAsia"/>
          <w:highlight w:val="none"/>
          <w:lang w:val="en-US" w:eastAsia="zh-CN"/>
        </w:rPr>
      </w:pPr>
    </w:p>
    <w:p w14:paraId="4EE16794">
      <w:pPr>
        <w:pStyle w:val="11"/>
        <w:ind w:left="0" w:leftChars="0" w:firstLine="0" w:firstLineChars="0"/>
        <w:rPr>
          <w:rFonts w:hint="eastAsia"/>
          <w:highlight w:val="none"/>
          <w:lang w:val="en-US" w:eastAsia="zh-CN"/>
        </w:rPr>
      </w:pPr>
    </w:p>
    <w:p w14:paraId="18B6ADBA">
      <w:pPr>
        <w:pStyle w:val="11"/>
        <w:ind w:left="0" w:leftChars="0" w:firstLine="0" w:firstLineChars="0"/>
        <w:rPr>
          <w:rFonts w:hint="eastAsia"/>
          <w:highlight w:val="none"/>
          <w:lang w:val="en-US" w:eastAsia="zh-CN"/>
        </w:rPr>
        <w:sectPr>
          <w:type w:val="continuous"/>
          <w:pgSz w:w="16838" w:h="11906" w:orient="landscape"/>
          <w:pgMar w:top="1800" w:right="1440" w:bottom="1800" w:left="1440" w:header="851" w:footer="992" w:gutter="0"/>
          <w:cols w:space="425" w:num="1"/>
          <w:docGrid w:type="lines" w:linePitch="312" w:charSpace="0"/>
        </w:sectPr>
      </w:pPr>
    </w:p>
    <w:p w14:paraId="4F6592EB">
      <w:pPr>
        <w:pStyle w:val="6"/>
        <w:adjustRightInd w:val="0"/>
        <w:snapToGrid w:val="0"/>
        <w:spacing w:before="0" w:beforeAutospacing="0" w:after="0" w:afterAutospacing="0" w:line="600" w:lineRule="exact"/>
        <w:jc w:val="center"/>
        <w:rPr>
          <w:rFonts w:ascii="黑体" w:hAnsi="黑体" w:eastAsia="黑体" w:cs="Times New Roman"/>
          <w:bCs/>
          <w:sz w:val="36"/>
          <w:szCs w:val="36"/>
        </w:rPr>
      </w:pPr>
      <w:r>
        <w:rPr>
          <w:rFonts w:ascii="黑体" w:hAnsi="黑体" w:eastAsia="黑体" w:cs="Times New Roman"/>
          <w:bCs/>
          <w:sz w:val="36"/>
          <w:szCs w:val="36"/>
        </w:rPr>
        <w:t xml:space="preserve">第三部分 </w:t>
      </w:r>
      <w:r>
        <w:rPr>
          <w:rFonts w:hint="eastAsia" w:ascii="黑体" w:hAnsi="黑体" w:eastAsia="黑体" w:cs="Times New Roman"/>
          <w:bCs/>
          <w:sz w:val="36"/>
          <w:szCs w:val="36"/>
          <w:lang w:val="en" w:eastAsia="zh-CN"/>
        </w:rPr>
        <w:t>2026年</w:t>
      </w:r>
      <w:r>
        <w:rPr>
          <w:rFonts w:ascii="黑体" w:hAnsi="黑体" w:eastAsia="黑体" w:cs="Times New Roman"/>
          <w:bCs/>
          <w:sz w:val="36"/>
          <w:szCs w:val="36"/>
        </w:rPr>
        <w:t>部门预算情况说明</w:t>
      </w:r>
    </w:p>
    <w:p w14:paraId="699E0B10">
      <w:pPr>
        <w:pStyle w:val="6"/>
        <w:adjustRightInd w:val="0"/>
        <w:snapToGrid w:val="0"/>
        <w:spacing w:before="0" w:beforeAutospacing="0" w:after="0" w:afterAutospacing="0" w:line="600" w:lineRule="exact"/>
        <w:rPr>
          <w:rFonts w:ascii="Times New Roman" w:hAnsi="Times New Roman" w:eastAsia="黑体" w:cs="Times New Roman"/>
          <w:bCs/>
          <w:sz w:val="32"/>
          <w:szCs w:val="32"/>
        </w:rPr>
      </w:pPr>
    </w:p>
    <w:p w14:paraId="74B9F0AF">
      <w:pPr>
        <w:pStyle w:val="6"/>
        <w:adjustRightInd w:val="0"/>
        <w:snapToGrid w:val="0"/>
        <w:spacing w:before="0" w:beforeAutospacing="0" w:after="0" w:afterAutospacing="0" w:line="600" w:lineRule="exact"/>
        <w:ind w:firstLine="640" w:firstLineChars="200"/>
        <w:rPr>
          <w:rFonts w:ascii="黑体" w:hAnsi="黑体" w:eastAsia="黑体" w:cs="Times New Roman"/>
          <w:sz w:val="32"/>
          <w:szCs w:val="32"/>
        </w:rPr>
      </w:pPr>
      <w:r>
        <w:rPr>
          <w:rFonts w:ascii="黑体" w:hAnsi="黑体" w:eastAsia="黑体" w:cs="Times New Roman"/>
          <w:bCs/>
          <w:sz w:val="32"/>
          <w:szCs w:val="32"/>
        </w:rPr>
        <w:t>一、</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收支预算总体情况说明</w:t>
      </w:r>
    </w:p>
    <w:p w14:paraId="7870B59C">
      <w:pPr>
        <w:pStyle w:val="11"/>
      </w:pPr>
      <w:r>
        <w:t>按照综合预算的原则，</w:t>
      </w:r>
      <w:r>
        <w:rPr>
          <w:rFonts w:hint="eastAsia"/>
          <w:lang w:eastAsia="zh-CN"/>
        </w:rPr>
        <w:t>歙县</w:t>
      </w:r>
      <w:r>
        <w:rPr>
          <w:rFonts w:hint="eastAsia"/>
          <w:lang w:val="en-US" w:eastAsia="zh-CN"/>
        </w:rPr>
        <w:t>长陔乡人民政府</w:t>
      </w:r>
      <w:r>
        <w:t>所有收入和支出均纳入部门预算管理。</w:t>
      </w:r>
      <w:r>
        <w:rPr>
          <w:rFonts w:hint="eastAsia"/>
          <w:lang w:eastAsia="zh-CN"/>
        </w:rPr>
        <w:t>歙县</w:t>
      </w:r>
      <w:r>
        <w:rPr>
          <w:rFonts w:hint="eastAsia"/>
          <w:lang w:val="en-US" w:eastAsia="zh-CN"/>
        </w:rPr>
        <w:t>长陔乡人民政府</w:t>
      </w:r>
      <w:r>
        <w:rPr>
          <w:rFonts w:hint="eastAsia"/>
          <w:lang w:val="en" w:eastAsia="zh-CN"/>
        </w:rPr>
        <w:t>2026年</w:t>
      </w:r>
      <w:r>
        <w:t>收支总预算</w:t>
      </w:r>
      <w:r>
        <w:rPr>
          <w:rFonts w:hint="eastAsia"/>
          <w:lang w:val="en-US" w:eastAsia="zh-CN"/>
        </w:rPr>
        <w:t>949.33</w:t>
      </w:r>
      <w:r>
        <w:t>万元，收入</w:t>
      </w:r>
      <w:r>
        <w:rPr>
          <w:rFonts w:hint="eastAsia"/>
          <w:lang w:val="en-US" w:eastAsia="zh-CN"/>
        </w:rPr>
        <w:t>全部是</w:t>
      </w:r>
      <w:r>
        <w:t>一般公共预算拨款收入，支出包括：社会保障和就业支出</w:t>
      </w:r>
      <w:r>
        <w:rPr>
          <w:rFonts w:hint="eastAsia"/>
          <w:lang w:val="en-US" w:eastAsia="zh-CN"/>
        </w:rPr>
        <w:t>133.84万元</w:t>
      </w:r>
      <w:r>
        <w:t>、卫生健康支出</w:t>
      </w:r>
      <w:r>
        <w:rPr>
          <w:rFonts w:hint="eastAsia"/>
          <w:lang w:val="en-US" w:eastAsia="zh-CN"/>
        </w:rPr>
        <w:t>22.42万元</w:t>
      </w:r>
      <w:r>
        <w:t>、</w:t>
      </w:r>
      <w:r>
        <w:rPr>
          <w:rFonts w:hint="eastAsia"/>
          <w:lang w:val="en-US" w:eastAsia="zh-CN"/>
        </w:rPr>
        <w:t>农林水支出734.30万元、</w:t>
      </w:r>
      <w:r>
        <w:t>住房保障支出</w:t>
      </w:r>
      <w:r>
        <w:rPr>
          <w:rFonts w:hint="eastAsia"/>
          <w:lang w:val="en-US" w:eastAsia="zh-CN"/>
        </w:rPr>
        <w:t>58.77万元。</w:t>
      </w:r>
    </w:p>
    <w:p w14:paraId="7B341BEA">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二</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收入预算情况说明</w:t>
      </w:r>
    </w:p>
    <w:p w14:paraId="0E0107ED">
      <w:pPr>
        <w:keepNext w:val="0"/>
        <w:keepLines w:val="0"/>
        <w:pageBreakBefore w:val="0"/>
        <w:kinsoku/>
        <w:overflowPunct/>
        <w:topLinePunct w:val="0"/>
        <w:autoSpaceDE/>
        <w:autoSpaceDN/>
        <w:bidi w:val="0"/>
        <w:adjustRightInd w:val="0"/>
        <w:snapToGrid w:val="0"/>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歙县长陔乡人民政府</w:t>
      </w:r>
      <w:r>
        <w:rPr>
          <w:rFonts w:hint="eastAsia" w:ascii="Times New Roman" w:hAnsi="Times New Roman" w:eastAsia="仿宋_GB2312" w:cs="Times New Roman"/>
          <w:kern w:val="2"/>
          <w:sz w:val="32"/>
          <w:szCs w:val="32"/>
          <w:lang w:val="en" w:eastAsia="zh-CN" w:bidi="ar-SA"/>
        </w:rPr>
        <w:t>2026年</w:t>
      </w:r>
      <w:r>
        <w:rPr>
          <w:rFonts w:hint="default" w:ascii="Times New Roman" w:hAnsi="Times New Roman" w:eastAsia="仿宋_GB2312" w:cs="Times New Roman"/>
          <w:kern w:val="2"/>
          <w:sz w:val="32"/>
          <w:szCs w:val="32"/>
          <w:lang w:val="en-US" w:eastAsia="zh-CN" w:bidi="ar-SA"/>
        </w:rPr>
        <w:t>收入预算</w:t>
      </w:r>
      <w:r>
        <w:rPr>
          <w:rFonts w:hint="eastAsia" w:eastAsia="仿宋_GB2312" w:cs="Times New Roman"/>
          <w:kern w:val="2"/>
          <w:sz w:val="32"/>
          <w:szCs w:val="32"/>
          <w:lang w:val="en-US" w:eastAsia="zh-CN" w:bidi="ar-SA"/>
        </w:rPr>
        <w:t>949.33</w:t>
      </w:r>
      <w:r>
        <w:rPr>
          <w:rFonts w:hint="default" w:ascii="Times New Roman" w:hAnsi="Times New Roman" w:eastAsia="仿宋_GB2312" w:cs="Times New Roman"/>
          <w:kern w:val="2"/>
          <w:sz w:val="32"/>
          <w:szCs w:val="32"/>
          <w:lang w:val="en-US" w:eastAsia="zh-CN" w:bidi="ar-SA"/>
        </w:rPr>
        <w:t>万元，其中</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本年收入</w:t>
      </w:r>
      <w:r>
        <w:rPr>
          <w:rFonts w:hint="eastAsia" w:eastAsia="仿宋_GB2312" w:cs="Times New Roman"/>
          <w:kern w:val="2"/>
          <w:sz w:val="32"/>
          <w:szCs w:val="32"/>
          <w:lang w:val="en-US" w:eastAsia="zh-CN" w:bidi="ar-SA"/>
        </w:rPr>
        <w:t>949.33</w:t>
      </w:r>
      <w:r>
        <w:rPr>
          <w:rFonts w:hint="default" w:ascii="Times New Roman" w:hAnsi="Times New Roman" w:eastAsia="仿宋_GB2312" w:cs="Times New Roman"/>
          <w:kern w:val="2"/>
          <w:sz w:val="32"/>
          <w:szCs w:val="32"/>
          <w:lang w:val="en-US" w:eastAsia="zh-CN" w:bidi="ar-SA"/>
        </w:rPr>
        <w:t>万元，上年结转</w:t>
      </w:r>
      <w:r>
        <w:rPr>
          <w:rFonts w:hint="eastAsia" w:ascii="Times New Roman" w:hAnsi="Times New Roman" w:eastAsia="仿宋_GB2312" w:cs="Times New Roman"/>
          <w:kern w:val="2"/>
          <w:sz w:val="32"/>
          <w:szCs w:val="32"/>
          <w:lang w:val="en-US" w:eastAsia="zh-CN" w:bidi="ar-SA"/>
        </w:rPr>
        <w:t>收入</w:t>
      </w:r>
      <w:r>
        <w:rPr>
          <w:rFonts w:hint="eastAsia" w:eastAsia="仿宋_GB2312" w:cs="Times New Roman"/>
          <w:kern w:val="2"/>
          <w:sz w:val="32"/>
          <w:szCs w:val="32"/>
          <w:lang w:val="en-US" w:eastAsia="zh-CN" w:bidi="ar-SA"/>
        </w:rPr>
        <w:t>0.00</w:t>
      </w:r>
      <w:r>
        <w:rPr>
          <w:rFonts w:hint="default" w:ascii="Times New Roman" w:hAnsi="Times New Roman" w:eastAsia="仿宋_GB2312" w:cs="Times New Roman"/>
          <w:kern w:val="2"/>
          <w:sz w:val="32"/>
          <w:szCs w:val="32"/>
          <w:lang w:val="en-US" w:eastAsia="zh-CN" w:bidi="ar-SA"/>
        </w:rPr>
        <w:t>万元。</w:t>
      </w:r>
    </w:p>
    <w:p w14:paraId="4FA8DAF0">
      <w:pPr>
        <w:keepNext w:val="0"/>
        <w:keepLines w:val="0"/>
        <w:pageBreakBefore w:val="0"/>
        <w:kinsoku/>
        <w:overflowPunct/>
        <w:topLinePunct w:val="0"/>
        <w:autoSpaceDE/>
        <w:autoSpaceDN/>
        <w:bidi w:val="0"/>
        <w:adjustRightInd w:val="0"/>
        <w:snapToGrid w:val="0"/>
        <w:spacing w:line="560" w:lineRule="exact"/>
        <w:ind w:firstLine="640" w:firstLineChars="200"/>
        <w:rPr>
          <w:rFonts w:hint="eastAsia"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本年收入</w:t>
      </w:r>
      <w:r>
        <w:rPr>
          <w:rFonts w:hint="eastAsia" w:eastAsia="仿宋_GB2312" w:cs="Times New Roman"/>
          <w:kern w:val="2"/>
          <w:sz w:val="32"/>
          <w:szCs w:val="32"/>
          <w:lang w:val="en-US" w:eastAsia="zh-CN" w:bidi="ar-SA"/>
        </w:rPr>
        <w:t>949.33</w:t>
      </w:r>
      <w:r>
        <w:rPr>
          <w:rFonts w:hint="default" w:ascii="Times New Roman" w:hAnsi="Times New Roman" w:eastAsia="仿宋_GB2312" w:cs="Times New Roman"/>
          <w:kern w:val="2"/>
          <w:sz w:val="32"/>
          <w:szCs w:val="32"/>
          <w:lang w:val="en-US" w:eastAsia="zh-CN" w:bidi="ar-SA"/>
        </w:rPr>
        <w:t>万元，主要包括：一般公共预算拨款收入</w:t>
      </w:r>
      <w:r>
        <w:rPr>
          <w:rFonts w:hint="eastAsia" w:eastAsia="仿宋_GB2312" w:cs="Times New Roman"/>
          <w:kern w:val="2"/>
          <w:sz w:val="32"/>
          <w:szCs w:val="32"/>
          <w:lang w:val="en-US" w:eastAsia="zh-CN" w:bidi="ar-SA"/>
        </w:rPr>
        <w:t>949.33</w:t>
      </w:r>
      <w:r>
        <w:rPr>
          <w:rFonts w:hint="default" w:ascii="Times New Roman" w:hAnsi="Times New Roman" w:eastAsia="仿宋_GB2312" w:cs="Times New Roman"/>
          <w:kern w:val="2"/>
          <w:sz w:val="32"/>
          <w:szCs w:val="32"/>
          <w:lang w:val="en-US" w:eastAsia="zh-CN" w:bidi="ar-SA"/>
        </w:rPr>
        <w:t>万元，占</w:t>
      </w:r>
      <w:r>
        <w:rPr>
          <w:rFonts w:hint="eastAsia" w:eastAsia="仿宋_GB2312" w:cs="Times New Roman"/>
          <w:kern w:val="2"/>
          <w:sz w:val="32"/>
          <w:szCs w:val="32"/>
          <w:lang w:val="en-US" w:eastAsia="zh-CN" w:bidi="ar-SA"/>
        </w:rPr>
        <w:t>100</w:t>
      </w:r>
      <w:r>
        <w:rPr>
          <w:rFonts w:hint="default" w:ascii="Times New Roman" w:hAnsi="Times New Roman" w:eastAsia="仿宋_GB2312" w:cs="Times New Roman"/>
          <w:kern w:val="2"/>
          <w:sz w:val="32"/>
          <w:szCs w:val="32"/>
          <w:lang w:val="en-US" w:eastAsia="zh-CN" w:bidi="ar-SA"/>
        </w:rPr>
        <w:t>%，比</w:t>
      </w:r>
      <w:r>
        <w:rPr>
          <w:rFonts w:hint="eastAsia" w:ascii="Times New Roman" w:hAnsi="Times New Roman" w:eastAsia="仿宋_GB2312" w:cs="Times New Roman"/>
          <w:kern w:val="2"/>
          <w:sz w:val="32"/>
          <w:szCs w:val="32"/>
          <w:lang w:val="en-US" w:eastAsia="zh-CN" w:bidi="ar-SA"/>
        </w:rPr>
        <w:t>2025年</w:t>
      </w:r>
      <w:r>
        <w:rPr>
          <w:rFonts w:hint="default" w:ascii="Times New Roman" w:hAnsi="Times New Roman" w:eastAsia="仿宋_GB2312" w:cs="Times New Roman"/>
          <w:kern w:val="2"/>
          <w:sz w:val="32"/>
          <w:szCs w:val="32"/>
          <w:lang w:val="en-US" w:eastAsia="zh-CN" w:bidi="ar-SA"/>
        </w:rPr>
        <w:t>预算增加</w:t>
      </w:r>
      <w:r>
        <w:rPr>
          <w:rFonts w:hint="eastAsia" w:eastAsia="仿宋_GB2312" w:cs="Times New Roman"/>
          <w:kern w:val="2"/>
          <w:sz w:val="32"/>
          <w:szCs w:val="32"/>
          <w:lang w:val="en-US" w:eastAsia="zh-CN" w:bidi="ar-SA"/>
        </w:rPr>
        <w:t>105.15</w:t>
      </w:r>
      <w:r>
        <w:rPr>
          <w:rFonts w:hint="default" w:ascii="Times New Roman" w:hAnsi="Times New Roman" w:eastAsia="仿宋_GB2312" w:cs="Times New Roman"/>
          <w:kern w:val="2"/>
          <w:sz w:val="32"/>
          <w:szCs w:val="32"/>
          <w:lang w:val="en-US" w:eastAsia="zh-CN" w:bidi="ar-SA"/>
        </w:rPr>
        <w:t>万元，增长</w:t>
      </w:r>
      <w:r>
        <w:rPr>
          <w:rFonts w:hint="eastAsia" w:eastAsia="仿宋_GB2312" w:cs="Times New Roman"/>
          <w:kern w:val="2"/>
          <w:sz w:val="32"/>
          <w:szCs w:val="32"/>
          <w:lang w:val="en-US" w:eastAsia="zh-CN" w:bidi="ar-SA"/>
        </w:rPr>
        <w:t>12.46</w:t>
      </w:r>
      <w:r>
        <w:rPr>
          <w:rFonts w:hint="default" w:ascii="Times New Roman" w:hAnsi="Times New Roman" w:eastAsia="仿宋_GB2312" w:cs="Times New Roman"/>
          <w:kern w:val="2"/>
          <w:sz w:val="32"/>
          <w:szCs w:val="32"/>
          <w:lang w:val="en-US" w:eastAsia="zh-CN" w:bidi="ar-SA"/>
        </w:rPr>
        <w:t>%，增长原因主要</w:t>
      </w:r>
      <w:r>
        <w:rPr>
          <w:rFonts w:hint="eastAsia" w:eastAsia="仿宋_GB2312" w:cs="Times New Roman"/>
          <w:kern w:val="2"/>
          <w:sz w:val="32"/>
          <w:szCs w:val="32"/>
          <w:lang w:val="en-US" w:eastAsia="zh-CN" w:bidi="ar-SA"/>
        </w:rPr>
        <w:t>一是2025年新增行政人员2人，事业人员2人，人员类经费增加，二是社会保障和就业支出、卫生健康支出、农林水支出以及住房保障支出均增加；项目类别中村级补助经费增加。</w:t>
      </w:r>
    </w:p>
    <w:p w14:paraId="7879DB41">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支出预算情况说明</w:t>
      </w:r>
    </w:p>
    <w:p w14:paraId="6D705191">
      <w:pPr>
        <w:keepNext w:val="0"/>
        <w:keepLines w:val="0"/>
        <w:pageBreakBefore w:val="0"/>
        <w:kinsoku/>
        <w:overflowPunct/>
        <w:topLinePunct w:val="0"/>
        <w:autoSpaceDE/>
        <w:autoSpaceDN/>
        <w:bidi w:val="0"/>
        <w:adjustRightInd w:val="0"/>
        <w:snapToGrid w:val="0"/>
        <w:spacing w:line="560" w:lineRule="exact"/>
        <w:ind w:firstLine="640" w:firstLineChars="200"/>
        <w:rPr>
          <w:rFonts w:hint="eastAsia"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歙县长陔乡人民政府</w:t>
      </w:r>
      <w:r>
        <w:rPr>
          <w:rFonts w:hint="eastAsia" w:ascii="Times New Roman" w:hAnsi="Times New Roman" w:eastAsia="仿宋_GB2312" w:cs="Times New Roman"/>
          <w:kern w:val="2"/>
          <w:sz w:val="32"/>
          <w:szCs w:val="32"/>
          <w:lang w:val="en" w:eastAsia="zh-CN" w:bidi="ar-SA"/>
        </w:rPr>
        <w:t>2026年</w:t>
      </w:r>
      <w:r>
        <w:rPr>
          <w:rFonts w:hint="default" w:ascii="Times New Roman" w:hAnsi="Times New Roman" w:eastAsia="仿宋_GB2312" w:cs="Times New Roman"/>
          <w:kern w:val="2"/>
          <w:sz w:val="32"/>
          <w:szCs w:val="32"/>
          <w:lang w:val="en-US" w:eastAsia="zh-CN" w:bidi="ar-SA"/>
        </w:rPr>
        <w:t>支出预算</w:t>
      </w:r>
      <w:r>
        <w:rPr>
          <w:rFonts w:hint="eastAsia" w:ascii="Times New Roman" w:hAnsi="Times New Roman" w:eastAsia="仿宋_GB2312" w:cs="Times New Roman"/>
          <w:kern w:val="2"/>
          <w:sz w:val="32"/>
          <w:szCs w:val="32"/>
          <w:lang w:val="en-US" w:eastAsia="zh-CN" w:bidi="ar-SA"/>
        </w:rPr>
        <w:t>949.33</w:t>
      </w:r>
      <w:r>
        <w:rPr>
          <w:rFonts w:hint="default" w:ascii="Times New Roman" w:hAnsi="Times New Roman" w:eastAsia="仿宋_GB2312" w:cs="Times New Roman"/>
          <w:kern w:val="2"/>
          <w:sz w:val="32"/>
          <w:szCs w:val="32"/>
          <w:lang w:val="en-US" w:eastAsia="zh-CN" w:bidi="ar-SA"/>
        </w:rPr>
        <w:t>万元，比</w:t>
      </w:r>
      <w:r>
        <w:rPr>
          <w:rFonts w:hint="eastAsia" w:ascii="Times New Roman" w:hAnsi="Times New Roman" w:eastAsia="仿宋_GB2312" w:cs="Times New Roman"/>
          <w:kern w:val="2"/>
          <w:sz w:val="32"/>
          <w:szCs w:val="32"/>
          <w:lang w:val="en" w:eastAsia="zh-CN" w:bidi="ar-SA"/>
        </w:rPr>
        <w:t>2025年</w:t>
      </w:r>
      <w:r>
        <w:rPr>
          <w:rFonts w:hint="default" w:ascii="Times New Roman" w:hAnsi="Times New Roman" w:eastAsia="仿宋_GB2312" w:cs="Times New Roman"/>
          <w:kern w:val="2"/>
          <w:sz w:val="32"/>
          <w:szCs w:val="32"/>
          <w:lang w:val="en-US" w:eastAsia="zh-CN" w:bidi="ar-SA"/>
        </w:rPr>
        <w:t>预算增加</w:t>
      </w:r>
      <w:r>
        <w:rPr>
          <w:rFonts w:hint="eastAsia" w:ascii="Times New Roman" w:hAnsi="Times New Roman" w:eastAsia="仿宋_GB2312" w:cs="Times New Roman"/>
          <w:kern w:val="2"/>
          <w:sz w:val="32"/>
          <w:szCs w:val="32"/>
          <w:lang w:val="en-US" w:eastAsia="zh-CN" w:bidi="ar-SA"/>
        </w:rPr>
        <w:t>105.15</w:t>
      </w:r>
      <w:r>
        <w:rPr>
          <w:rFonts w:hint="default" w:ascii="Times New Roman" w:hAnsi="Times New Roman" w:eastAsia="仿宋_GB2312" w:cs="Times New Roman"/>
          <w:kern w:val="2"/>
          <w:sz w:val="32"/>
          <w:szCs w:val="32"/>
          <w:lang w:val="en-US" w:eastAsia="zh-CN" w:bidi="ar-SA"/>
        </w:rPr>
        <w:t>万元，增长</w:t>
      </w:r>
      <w:r>
        <w:rPr>
          <w:rFonts w:hint="eastAsia" w:ascii="Times New Roman" w:hAnsi="Times New Roman" w:eastAsia="仿宋_GB2312" w:cs="Times New Roman"/>
          <w:kern w:val="2"/>
          <w:sz w:val="32"/>
          <w:szCs w:val="32"/>
          <w:lang w:val="en-US" w:eastAsia="zh-CN" w:bidi="ar-SA"/>
        </w:rPr>
        <w:t>12.46</w:t>
      </w:r>
      <w:r>
        <w:rPr>
          <w:rFonts w:hint="default" w:ascii="Times New Roman" w:hAnsi="Times New Roman" w:eastAsia="仿宋_GB2312" w:cs="Times New Roman"/>
          <w:kern w:val="2"/>
          <w:sz w:val="32"/>
          <w:szCs w:val="32"/>
          <w:lang w:val="en-US" w:eastAsia="zh-CN" w:bidi="ar-SA"/>
        </w:rPr>
        <w:t>%，增长(下降)原因主要是</w:t>
      </w:r>
      <w:r>
        <w:rPr>
          <w:rFonts w:hint="eastAsia" w:ascii="Times New Roman" w:hAnsi="Times New Roman" w:eastAsia="仿宋_GB2312" w:cs="Times New Roman"/>
          <w:kern w:val="2"/>
          <w:sz w:val="32"/>
          <w:szCs w:val="32"/>
          <w:lang w:val="en-US" w:eastAsia="zh-CN" w:bidi="ar-SA"/>
        </w:rPr>
        <w:t>一</w:t>
      </w:r>
      <w:r>
        <w:rPr>
          <w:rFonts w:hint="eastAsia" w:eastAsia="仿宋_GB2312" w:cs="Times New Roman"/>
          <w:kern w:val="2"/>
          <w:sz w:val="32"/>
          <w:szCs w:val="32"/>
          <w:lang w:val="en-US" w:eastAsia="zh-CN" w:bidi="ar-SA"/>
        </w:rPr>
        <w:t>是2025年新增行政人员2人，事业人员2人，人员类经费增加，二是社会保障和就业支出、卫生健康支出、农林水支出以及住房保障支出均增加；项目类别中村级补助经费增加。其中：基本支出772.34万元，占81.36%，主要用于保障机构日常运转、完成日常工作任务等；项目支出176.99万元，占18.64%，主要用于长陔乡基础设施维护、计生业务费用、征兵活动、乡村振兴及社会事务发展、党训、人大会议活动、村级活动支出、综治文明创建活动。</w:t>
      </w:r>
    </w:p>
    <w:p w14:paraId="70D2CB75">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四、</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hint="eastAsia" w:ascii="黑体" w:hAnsi="黑体" w:eastAsia="黑体" w:cs="Times New Roman"/>
          <w:sz w:val="32"/>
          <w:szCs w:val="32"/>
        </w:rPr>
        <w:t>财政</w:t>
      </w:r>
      <w:r>
        <w:rPr>
          <w:rFonts w:ascii="黑体" w:hAnsi="黑体" w:eastAsia="黑体" w:cs="Times New Roman"/>
          <w:sz w:val="32"/>
          <w:szCs w:val="32"/>
        </w:rPr>
        <w:t>拨款收支预算总体情况说明</w:t>
      </w:r>
    </w:p>
    <w:p w14:paraId="67001BF8">
      <w:pPr>
        <w:pStyle w:val="11"/>
      </w:pPr>
      <w:r>
        <w:rPr>
          <w:rFonts w:hint="eastAsia"/>
          <w:lang w:eastAsia="zh-CN"/>
        </w:rPr>
        <w:t>歙县</w:t>
      </w:r>
      <w:r>
        <w:rPr>
          <w:rFonts w:hint="eastAsia"/>
          <w:lang w:val="en-US" w:eastAsia="zh-CN"/>
        </w:rPr>
        <w:t>长陔乡人民政府</w:t>
      </w:r>
      <w:r>
        <w:rPr>
          <w:rFonts w:hint="eastAsia"/>
          <w:lang w:val="en" w:eastAsia="zh-CN"/>
        </w:rPr>
        <w:t>2026年</w:t>
      </w:r>
      <w:r>
        <w:t>财政拨款收支预算</w:t>
      </w:r>
      <w:r>
        <w:rPr>
          <w:rFonts w:hint="eastAsia"/>
          <w:lang w:val="en-US" w:eastAsia="zh-CN"/>
        </w:rPr>
        <w:t>949.33</w:t>
      </w:r>
      <w:r>
        <w:t>万元。收入按资金来源</w:t>
      </w:r>
      <w:r>
        <w:rPr>
          <w:rFonts w:hint="eastAsia"/>
          <w:lang w:val="en-US" w:eastAsia="zh-CN"/>
        </w:rPr>
        <w:t>分为：</w:t>
      </w:r>
      <w:r>
        <w:t>一般公共预算拨款</w:t>
      </w:r>
      <w:r>
        <w:rPr>
          <w:rFonts w:hint="eastAsia"/>
          <w:lang w:val="en-US" w:eastAsia="zh-CN"/>
        </w:rPr>
        <w:t>949.33</w:t>
      </w:r>
      <w:r>
        <w:t>万元、政府性基金预算拨款</w:t>
      </w:r>
      <w:r>
        <w:rPr>
          <w:rFonts w:hint="eastAsia"/>
          <w:lang w:val="en-US" w:eastAsia="zh-CN"/>
        </w:rPr>
        <w:t>0.00</w:t>
      </w:r>
      <w:r>
        <w:t>万元、国有资本经营预算拨款</w:t>
      </w:r>
      <w:r>
        <w:rPr>
          <w:rFonts w:hint="eastAsia"/>
          <w:lang w:val="en-US" w:eastAsia="zh-CN"/>
        </w:rPr>
        <w:t>0.00</w:t>
      </w:r>
      <w:r>
        <w:t>万元；按资金年度分为：当年财政拨款收入</w:t>
      </w:r>
      <w:r>
        <w:rPr>
          <w:rFonts w:hint="eastAsia"/>
          <w:lang w:val="en-US" w:eastAsia="zh-CN"/>
        </w:rPr>
        <w:t>949.33</w:t>
      </w:r>
      <w:r>
        <w:t>万元，上年结转</w:t>
      </w:r>
      <w:r>
        <w:rPr>
          <w:rFonts w:hint="eastAsia"/>
          <w:lang w:val="en-US" w:eastAsia="zh-CN"/>
        </w:rPr>
        <w:t>0.00</w:t>
      </w:r>
      <w:r>
        <w:t>万元。支出按功能分类分为：社会保障和就业支出</w:t>
      </w:r>
      <w:r>
        <w:rPr>
          <w:rFonts w:hint="eastAsia"/>
          <w:lang w:val="en-US" w:eastAsia="zh-CN"/>
        </w:rPr>
        <w:t>133.84</w:t>
      </w:r>
      <w:r>
        <w:t>万元，占</w:t>
      </w:r>
      <w:r>
        <w:rPr>
          <w:rFonts w:hint="eastAsia"/>
          <w:lang w:val="en-US" w:eastAsia="zh-CN"/>
        </w:rPr>
        <w:t>14.10</w:t>
      </w:r>
      <w:r>
        <w:t>%；卫生健康支出</w:t>
      </w:r>
      <w:r>
        <w:rPr>
          <w:rFonts w:hint="eastAsia"/>
          <w:lang w:val="en-US" w:eastAsia="zh-CN"/>
        </w:rPr>
        <w:t>22.42</w:t>
      </w:r>
      <w:r>
        <w:t>万元，占</w:t>
      </w:r>
      <w:r>
        <w:rPr>
          <w:rFonts w:hint="eastAsia"/>
          <w:lang w:val="en-US" w:eastAsia="zh-CN"/>
        </w:rPr>
        <w:t>2.36</w:t>
      </w:r>
      <w:r>
        <w:t>%；</w:t>
      </w:r>
      <w:r>
        <w:rPr>
          <w:rFonts w:hint="eastAsia"/>
          <w:lang w:val="en-US" w:eastAsia="zh-CN"/>
        </w:rPr>
        <w:t>农林水支出734.30万元，占77.35%；</w:t>
      </w:r>
      <w:r>
        <w:t>住房保障支出</w:t>
      </w:r>
      <w:r>
        <w:rPr>
          <w:rFonts w:hint="eastAsia"/>
          <w:lang w:val="en-US" w:eastAsia="zh-CN"/>
        </w:rPr>
        <w:t>58.77</w:t>
      </w:r>
      <w:r>
        <w:t>万元，占</w:t>
      </w:r>
      <w:r>
        <w:rPr>
          <w:rFonts w:hint="eastAsia"/>
          <w:lang w:val="en-US" w:eastAsia="zh-CN"/>
        </w:rPr>
        <w:t>8.00</w:t>
      </w:r>
      <w:r>
        <w:t>%。</w:t>
      </w:r>
    </w:p>
    <w:p w14:paraId="1A382EE2">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五、</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一般公共预算</w:t>
      </w:r>
      <w:r>
        <w:rPr>
          <w:rFonts w:hint="eastAsia" w:ascii="黑体" w:hAnsi="黑体" w:eastAsia="黑体" w:cs="Times New Roman"/>
          <w:sz w:val="32"/>
          <w:szCs w:val="32"/>
        </w:rPr>
        <w:t>财政</w:t>
      </w:r>
      <w:r>
        <w:rPr>
          <w:rFonts w:ascii="黑体" w:hAnsi="黑体" w:eastAsia="黑体" w:cs="Times New Roman"/>
          <w:sz w:val="32"/>
          <w:szCs w:val="32"/>
        </w:rPr>
        <w:t>拨款情况说明</w:t>
      </w:r>
    </w:p>
    <w:p w14:paraId="26AE066A">
      <w:pPr>
        <w:pStyle w:val="6"/>
        <w:adjustRightInd w:val="0"/>
        <w:snapToGrid w:val="0"/>
        <w:spacing w:before="0" w:beforeAutospacing="0" w:after="0" w:afterAutospacing="0" w:line="600" w:lineRule="exact"/>
        <w:ind w:firstLine="630" w:firstLineChars="196"/>
        <w:rPr>
          <w:rFonts w:ascii="Times New Roman" w:hAnsi="Times New Roman" w:eastAsia="楷体_GB2312" w:cs="Times New Roman"/>
          <w:b/>
          <w:kern w:val="2"/>
          <w:sz w:val="32"/>
          <w:szCs w:val="32"/>
        </w:rPr>
      </w:pPr>
      <w:r>
        <w:rPr>
          <w:rFonts w:ascii="Times New Roman" w:hAnsi="Times New Roman" w:eastAsia="楷体_GB2312" w:cs="Times New Roman"/>
          <w:b/>
          <w:kern w:val="2"/>
          <w:sz w:val="32"/>
          <w:szCs w:val="32"/>
        </w:rPr>
        <w:t>（一）一般公共预算拨款规模变化情况。</w:t>
      </w:r>
    </w:p>
    <w:p w14:paraId="4888593D">
      <w:pPr>
        <w:keepNext w:val="0"/>
        <w:keepLines w:val="0"/>
        <w:pageBreakBefore w:val="0"/>
        <w:kinsoku/>
        <w:overflowPunct/>
        <w:topLinePunct w:val="0"/>
        <w:autoSpaceDE/>
        <w:autoSpaceDN/>
        <w:bidi w:val="0"/>
        <w:adjustRightInd w:val="0"/>
        <w:snapToGrid w:val="0"/>
        <w:spacing w:line="560" w:lineRule="exact"/>
        <w:ind w:firstLine="640" w:firstLineChars="200"/>
      </w:pPr>
      <w:r>
        <w:rPr>
          <w:rFonts w:hint="eastAsia" w:eastAsia="仿宋_GB2312" w:cs="Times New Roman"/>
          <w:kern w:val="2"/>
          <w:sz w:val="32"/>
          <w:szCs w:val="32"/>
          <w:lang w:val="en-US" w:eastAsia="zh-CN" w:bidi="ar-SA"/>
        </w:rPr>
        <w:t>歙县长陔乡人民政府</w:t>
      </w:r>
      <w:r>
        <w:rPr>
          <w:rFonts w:hint="eastAsia" w:eastAsia="仿宋_GB2312" w:cs="Times New Roman"/>
          <w:kern w:val="2"/>
          <w:sz w:val="32"/>
          <w:szCs w:val="32"/>
          <w:lang w:val="en" w:eastAsia="zh-CN" w:bidi="ar-SA"/>
        </w:rPr>
        <w:t>2026年</w:t>
      </w:r>
      <w:r>
        <w:rPr>
          <w:rFonts w:hint="eastAsia" w:eastAsia="仿宋_GB2312" w:cs="Times New Roman"/>
          <w:kern w:val="2"/>
          <w:sz w:val="32"/>
          <w:szCs w:val="32"/>
          <w:lang w:val="en-US" w:eastAsia="zh-CN" w:bidi="ar-SA"/>
        </w:rPr>
        <w:t>一般公共预算拨款949.33万元，比</w:t>
      </w:r>
      <w:r>
        <w:rPr>
          <w:rFonts w:hint="eastAsia" w:eastAsia="仿宋_GB2312" w:cs="Times New Roman"/>
          <w:kern w:val="2"/>
          <w:sz w:val="32"/>
          <w:szCs w:val="32"/>
          <w:lang w:val="en" w:eastAsia="zh-CN" w:bidi="ar-SA"/>
        </w:rPr>
        <w:t>2025年</w:t>
      </w:r>
      <w:r>
        <w:rPr>
          <w:rFonts w:hint="eastAsia" w:eastAsia="仿宋_GB2312" w:cs="Times New Roman"/>
          <w:kern w:val="2"/>
          <w:sz w:val="32"/>
          <w:szCs w:val="32"/>
          <w:lang w:val="en-US" w:eastAsia="zh-CN" w:bidi="ar-SA"/>
        </w:rPr>
        <w:t>预算拨款增加105.15万元，增长12.46%，主要原因：一是2025年新增行政人员2人，事业人员2人，人员类经费增加</w:t>
      </w:r>
      <w:r>
        <w:t>；</w:t>
      </w:r>
      <w:r>
        <w:rPr>
          <w:rFonts w:hint="eastAsia" w:eastAsia="仿宋_GB2312" w:cs="Times New Roman"/>
          <w:kern w:val="2"/>
          <w:sz w:val="32"/>
          <w:szCs w:val="32"/>
          <w:lang w:val="en-US" w:eastAsia="zh-CN" w:bidi="ar-SA"/>
        </w:rPr>
        <w:t>二是社会保障和就业支出、卫生健康支出、农林水支出以及住房保障支出均增加；项目类别中村级补助经费增加。</w:t>
      </w:r>
    </w:p>
    <w:p w14:paraId="117C0ED4">
      <w:pPr>
        <w:pStyle w:val="6"/>
        <w:adjustRightInd w:val="0"/>
        <w:snapToGrid w:val="0"/>
        <w:spacing w:before="0" w:beforeAutospacing="0" w:after="0" w:afterAutospacing="0" w:line="600" w:lineRule="exact"/>
        <w:ind w:firstLine="630" w:firstLineChars="196"/>
        <w:rPr>
          <w:rFonts w:ascii="Times New Roman" w:hAnsi="Times New Roman" w:eastAsia="楷体_GB2312" w:cs="Times New Roman"/>
          <w:b/>
          <w:kern w:val="2"/>
          <w:sz w:val="32"/>
          <w:szCs w:val="32"/>
        </w:rPr>
      </w:pPr>
      <w:r>
        <w:rPr>
          <w:rFonts w:ascii="Times New Roman" w:hAnsi="Times New Roman" w:eastAsia="楷体_GB2312" w:cs="Times New Roman"/>
          <w:b/>
          <w:kern w:val="2"/>
          <w:sz w:val="32"/>
          <w:szCs w:val="32"/>
        </w:rPr>
        <w:t>（二）一般公共预算拨款结构情况。</w:t>
      </w:r>
    </w:p>
    <w:p w14:paraId="750033FD">
      <w:pPr>
        <w:pStyle w:val="11"/>
        <w:keepNext w:val="0"/>
        <w:keepLines w:val="0"/>
        <w:pageBreakBefore w:val="0"/>
        <w:widowControl/>
        <w:kinsoku/>
        <w:wordWrap/>
        <w:overflowPunct/>
        <w:topLinePunct w:val="0"/>
        <w:autoSpaceDE/>
        <w:autoSpaceDN/>
        <w:bidi w:val="0"/>
        <w:adjustRightInd/>
        <w:snapToGrid/>
        <w:ind w:left="0" w:leftChars="0" w:firstLine="640" w:firstLineChars="200"/>
        <w:textAlignment w:val="auto"/>
      </w:pPr>
      <w:r>
        <w:rPr>
          <w:rFonts w:hint="eastAsia"/>
          <w:lang w:eastAsia="zh-CN"/>
        </w:rPr>
        <w:t>歙县</w:t>
      </w:r>
      <w:r>
        <w:rPr>
          <w:rFonts w:hint="eastAsia"/>
          <w:lang w:val="en-US" w:eastAsia="zh-CN"/>
        </w:rPr>
        <w:t>长陔乡人民政府</w:t>
      </w:r>
      <w:r>
        <w:rPr>
          <w:rFonts w:hint="eastAsia"/>
          <w:lang w:val="en" w:eastAsia="zh-CN"/>
        </w:rPr>
        <w:t>2026年</w:t>
      </w:r>
      <w:r>
        <w:t>社会保障和就业支出</w:t>
      </w:r>
      <w:r>
        <w:rPr>
          <w:rFonts w:hint="eastAsia"/>
          <w:lang w:val="en-US" w:eastAsia="zh-CN"/>
        </w:rPr>
        <w:t>133.84</w:t>
      </w:r>
      <w:r>
        <w:t>万元，占</w:t>
      </w:r>
      <w:r>
        <w:rPr>
          <w:rFonts w:hint="eastAsia"/>
          <w:lang w:val="en-US" w:eastAsia="zh-CN"/>
        </w:rPr>
        <w:t>14.10</w:t>
      </w:r>
      <w:r>
        <w:t>%；卫生健康支出</w:t>
      </w:r>
      <w:r>
        <w:rPr>
          <w:rFonts w:hint="eastAsia"/>
          <w:lang w:val="en-US" w:eastAsia="zh-CN"/>
        </w:rPr>
        <w:t>22.42</w:t>
      </w:r>
      <w:r>
        <w:t>万元，占</w:t>
      </w:r>
      <w:r>
        <w:rPr>
          <w:rFonts w:hint="eastAsia"/>
          <w:lang w:val="en-US" w:eastAsia="zh-CN"/>
        </w:rPr>
        <w:t>2.36</w:t>
      </w:r>
      <w:r>
        <w:t>%；</w:t>
      </w:r>
      <w:r>
        <w:rPr>
          <w:rFonts w:hint="eastAsia"/>
          <w:lang w:val="en-US" w:eastAsia="zh-CN"/>
        </w:rPr>
        <w:t>农林水支出734.30万元，占77.35%；</w:t>
      </w:r>
      <w:r>
        <w:t>住房保障支出</w:t>
      </w:r>
      <w:r>
        <w:rPr>
          <w:rFonts w:hint="eastAsia"/>
          <w:lang w:val="en-US" w:eastAsia="zh-CN"/>
        </w:rPr>
        <w:t>58.77</w:t>
      </w:r>
      <w:r>
        <w:t>万元，占</w:t>
      </w:r>
      <w:r>
        <w:rPr>
          <w:rFonts w:hint="eastAsia"/>
          <w:lang w:val="en-US" w:eastAsia="zh-CN"/>
        </w:rPr>
        <w:t>6.19</w:t>
      </w:r>
      <w:r>
        <w:t>%。</w:t>
      </w:r>
    </w:p>
    <w:p w14:paraId="3AE60E4D">
      <w:pPr>
        <w:adjustRightInd w:val="0"/>
        <w:snapToGrid w:val="0"/>
        <w:spacing w:line="600" w:lineRule="exact"/>
        <w:ind w:firstLine="643" w:firstLineChars="200"/>
        <w:rPr>
          <w:rFonts w:eastAsia="楷体_GB2312"/>
          <w:b/>
          <w:sz w:val="32"/>
          <w:szCs w:val="32"/>
        </w:rPr>
      </w:pPr>
      <w:r>
        <w:rPr>
          <w:rFonts w:eastAsia="楷体_GB2312"/>
          <w:b/>
          <w:sz w:val="32"/>
          <w:szCs w:val="32"/>
        </w:rPr>
        <w:t>（三）一般公共预算拨款具体使用情况。</w:t>
      </w:r>
    </w:p>
    <w:p w14:paraId="5C9CC9CC">
      <w:pPr>
        <w:pStyle w:val="11"/>
        <w:rPr>
          <w:rFonts w:hint="eastAsia"/>
        </w:rPr>
      </w:pPr>
      <w:r>
        <w:rPr>
          <w:b/>
          <w:bCs/>
        </w:rPr>
        <w:t xml:space="preserve">1. </w:t>
      </w:r>
      <w:r>
        <w:rPr>
          <w:rFonts w:ascii="TimesNewRoman" w:hAnsi="TimesNewRoman" w:cs="TimesNewRoman"/>
          <w:b/>
          <w:bCs/>
          <w:szCs w:val="32"/>
        </w:rPr>
        <w:t>社会保障和就业支出</w:t>
      </w:r>
      <w:r>
        <w:rPr>
          <w:rFonts w:ascii="TimesNewRoman" w:hAnsi="TimesNewRoman" w:cs="TimesNewRoman"/>
          <w:b/>
          <w:szCs w:val="32"/>
        </w:rPr>
        <w:t>（类）行政事业单位</w:t>
      </w:r>
      <w:r>
        <w:rPr>
          <w:rFonts w:hint="eastAsia" w:ascii="TimesNewRoman" w:hAnsi="TimesNewRoman" w:cs="TimesNewRoman"/>
          <w:b/>
          <w:szCs w:val="32"/>
        </w:rPr>
        <w:t>养老支出</w:t>
      </w:r>
      <w:r>
        <w:rPr>
          <w:rFonts w:ascii="TimesNewRoman" w:hAnsi="TimesNewRoman" w:cs="TimesNewRoman"/>
          <w:b/>
          <w:szCs w:val="32"/>
        </w:rPr>
        <w:t>（款）行政单位离退休（项）</w:t>
      </w:r>
      <w:r>
        <w:rPr>
          <w:rFonts w:hint="eastAsia"/>
          <w:lang w:val="en" w:eastAsia="zh-CN"/>
        </w:rPr>
        <w:t>2026年</w:t>
      </w:r>
      <w:r>
        <w:rPr>
          <w:rFonts w:hint="eastAsia"/>
        </w:rPr>
        <w:t>预算</w:t>
      </w:r>
      <w:r>
        <w:rPr>
          <w:rFonts w:hint="eastAsia"/>
          <w:lang w:val="en-US" w:eastAsia="zh-CN"/>
        </w:rPr>
        <w:t>1.19</w:t>
      </w:r>
      <w:r>
        <w:rPr>
          <w:rFonts w:hint="eastAsia"/>
        </w:rPr>
        <w:t>万元，比</w:t>
      </w:r>
      <w:r>
        <w:rPr>
          <w:rFonts w:hint="eastAsia"/>
          <w:lang w:val="en" w:eastAsia="zh-CN"/>
        </w:rPr>
        <w:t>2025年</w:t>
      </w:r>
      <w:r>
        <w:rPr>
          <w:rFonts w:hint="eastAsia"/>
        </w:rPr>
        <w:t>预算减少</w:t>
      </w:r>
      <w:r>
        <w:rPr>
          <w:rFonts w:hint="eastAsia"/>
          <w:lang w:val="en-US" w:eastAsia="zh-CN"/>
        </w:rPr>
        <w:t>0.06</w:t>
      </w:r>
      <w:r>
        <w:rPr>
          <w:rFonts w:hint="eastAsia"/>
        </w:rPr>
        <w:t>万元，下降</w:t>
      </w:r>
      <w:r>
        <w:rPr>
          <w:rFonts w:hint="eastAsia"/>
          <w:lang w:val="en-US" w:eastAsia="zh-CN"/>
        </w:rPr>
        <w:t>4.8</w:t>
      </w:r>
      <w:r>
        <w:rPr>
          <w:rFonts w:hint="eastAsia"/>
        </w:rPr>
        <w:t>%，下降原因主要</w:t>
      </w:r>
      <w:r>
        <w:rPr>
          <w:rFonts w:hint="eastAsia"/>
          <w:lang w:val="en-US" w:eastAsia="zh-CN"/>
        </w:rPr>
        <w:t>是2025年退休人员减少1人</w:t>
      </w:r>
      <w:r>
        <w:rPr>
          <w:rFonts w:hint="eastAsia"/>
        </w:rPr>
        <w:t>。</w:t>
      </w:r>
    </w:p>
    <w:p w14:paraId="3F6AF1C0">
      <w:pPr>
        <w:pStyle w:val="11"/>
      </w:pPr>
      <w:r>
        <w:rPr>
          <w:rFonts w:hint="eastAsia"/>
          <w:b/>
          <w:bCs/>
        </w:rPr>
        <w:t>2.</w:t>
      </w:r>
      <w:r>
        <w:rPr>
          <w:rFonts w:ascii="TimesNewRoman" w:hAnsi="TimesNewRoman" w:cs="TimesNewRoman"/>
          <w:b/>
          <w:bCs/>
          <w:szCs w:val="32"/>
        </w:rPr>
        <w:t>社会保障</w:t>
      </w:r>
      <w:r>
        <w:rPr>
          <w:rFonts w:ascii="TimesNewRoman" w:hAnsi="TimesNewRoman" w:cs="TimesNewRoman"/>
          <w:b/>
          <w:szCs w:val="32"/>
        </w:rPr>
        <w:t>和就业支出（类）行政事业单位</w:t>
      </w:r>
      <w:r>
        <w:rPr>
          <w:rFonts w:hint="eastAsia" w:ascii="TimesNewRoman" w:hAnsi="TimesNewRoman" w:cs="TimesNewRoman"/>
          <w:b/>
          <w:szCs w:val="32"/>
        </w:rPr>
        <w:t>养老支出</w:t>
      </w:r>
      <w:r>
        <w:rPr>
          <w:rFonts w:ascii="TimesNewRoman" w:hAnsi="TimesNewRoman" w:cs="TimesNewRoman"/>
          <w:b/>
          <w:szCs w:val="32"/>
        </w:rPr>
        <w:t>（款）</w:t>
      </w:r>
      <w:r>
        <w:rPr>
          <w:rFonts w:hint="eastAsia" w:ascii="TimesNewRoman" w:hAnsi="TimesNewRoman" w:cs="TimesNewRoman"/>
          <w:b/>
          <w:szCs w:val="32"/>
          <w:lang w:val="en-US" w:eastAsia="zh-CN"/>
        </w:rPr>
        <w:t>事业</w:t>
      </w:r>
      <w:r>
        <w:rPr>
          <w:rFonts w:ascii="TimesNewRoman" w:hAnsi="TimesNewRoman" w:cs="TimesNewRoman"/>
          <w:b/>
          <w:szCs w:val="32"/>
        </w:rPr>
        <w:t>单位离退休（项）</w:t>
      </w:r>
      <w:r>
        <w:rPr>
          <w:rFonts w:hint="eastAsia"/>
          <w:lang w:val="en" w:eastAsia="zh-CN"/>
        </w:rPr>
        <w:t>2026年</w:t>
      </w:r>
      <w:r>
        <w:rPr>
          <w:rFonts w:hint="eastAsia"/>
        </w:rPr>
        <w:t>预算</w:t>
      </w:r>
      <w:r>
        <w:rPr>
          <w:rFonts w:hint="eastAsia"/>
          <w:lang w:val="en-US" w:eastAsia="zh-CN"/>
        </w:rPr>
        <w:t>39.32</w:t>
      </w:r>
      <w:r>
        <w:rPr>
          <w:rFonts w:hint="eastAsia"/>
        </w:rPr>
        <w:t>万元，比</w:t>
      </w:r>
      <w:r>
        <w:rPr>
          <w:rFonts w:hint="eastAsia"/>
          <w:lang w:val="en" w:eastAsia="zh-CN"/>
        </w:rPr>
        <w:t>2025年</w:t>
      </w:r>
      <w:r>
        <w:rPr>
          <w:rFonts w:hint="eastAsia"/>
        </w:rPr>
        <w:t>预算减少</w:t>
      </w:r>
      <w:r>
        <w:rPr>
          <w:rFonts w:hint="eastAsia"/>
          <w:lang w:val="en-US" w:eastAsia="zh-CN"/>
        </w:rPr>
        <w:t>2.31</w:t>
      </w:r>
      <w:r>
        <w:rPr>
          <w:rFonts w:hint="eastAsia"/>
        </w:rPr>
        <w:t>万元，下降</w:t>
      </w:r>
      <w:r>
        <w:rPr>
          <w:rFonts w:hint="eastAsia"/>
          <w:lang w:val="en-US" w:eastAsia="zh-CN"/>
        </w:rPr>
        <w:t>5.55</w:t>
      </w:r>
      <w:r>
        <w:rPr>
          <w:rFonts w:hint="eastAsia"/>
        </w:rPr>
        <w:t>%，下降原因主要是</w:t>
      </w:r>
      <w:r>
        <w:rPr>
          <w:rFonts w:hint="eastAsia"/>
          <w:lang w:val="en-US" w:eastAsia="zh-CN"/>
        </w:rPr>
        <w:t>2025年退休人员减少1人</w:t>
      </w:r>
      <w:r>
        <w:rPr>
          <w:rFonts w:hint="eastAsia"/>
        </w:rPr>
        <w:t>。</w:t>
      </w:r>
    </w:p>
    <w:p w14:paraId="7D7D1D09">
      <w:pPr>
        <w:pStyle w:val="11"/>
      </w:pPr>
      <w:r>
        <w:rPr>
          <w:rFonts w:hint="eastAsia"/>
          <w:b/>
          <w:bCs/>
        </w:rPr>
        <w:t>3.社会保障和就业支出（类）行政事业单位养老支出（款）机关事业单位基本养老保险缴费支出（项）</w:t>
      </w:r>
      <w:r>
        <w:rPr>
          <w:rFonts w:hint="eastAsia"/>
          <w:lang w:val="en" w:eastAsia="zh-CN"/>
        </w:rPr>
        <w:t>2026年</w:t>
      </w:r>
      <w:r>
        <w:rPr>
          <w:rFonts w:hint="eastAsia"/>
        </w:rPr>
        <w:t>预算</w:t>
      </w:r>
      <w:r>
        <w:rPr>
          <w:rFonts w:hint="eastAsia"/>
          <w:lang w:val="en-US" w:eastAsia="zh-CN"/>
        </w:rPr>
        <w:t>62.22</w:t>
      </w:r>
      <w:r>
        <w:rPr>
          <w:rFonts w:hint="eastAsia"/>
        </w:rPr>
        <w:t>万元，比</w:t>
      </w:r>
      <w:r>
        <w:rPr>
          <w:rFonts w:hint="eastAsia"/>
          <w:lang w:val="en" w:eastAsia="zh-CN"/>
        </w:rPr>
        <w:t>2025年</w:t>
      </w:r>
      <w:r>
        <w:rPr>
          <w:rFonts w:hint="eastAsia"/>
        </w:rPr>
        <w:t>预算增加</w:t>
      </w:r>
      <w:r>
        <w:rPr>
          <w:rFonts w:hint="eastAsia"/>
          <w:lang w:val="en-US" w:eastAsia="zh-CN"/>
        </w:rPr>
        <w:t>9.55</w:t>
      </w:r>
      <w:r>
        <w:rPr>
          <w:rFonts w:hint="eastAsia"/>
        </w:rPr>
        <w:t>万元，增</w:t>
      </w:r>
      <w:r>
        <w:rPr>
          <w:rFonts w:hint="eastAsia"/>
          <w:lang w:val="en-US" w:eastAsia="zh-CN"/>
        </w:rPr>
        <w:t>长18.13</w:t>
      </w:r>
      <w:r>
        <w:rPr>
          <w:rFonts w:hint="eastAsia"/>
        </w:rPr>
        <w:t>%，增长原因主要是</w:t>
      </w:r>
      <w:r>
        <w:rPr>
          <w:rFonts w:hint="eastAsia"/>
          <w:lang w:val="en-US" w:eastAsia="zh-CN"/>
        </w:rPr>
        <w:t>2025年新增行政人员2人，事业人员2人，相关社会保障费用增加</w:t>
      </w:r>
      <w:r>
        <w:rPr>
          <w:rFonts w:hint="eastAsia"/>
        </w:rPr>
        <w:t>。</w:t>
      </w:r>
    </w:p>
    <w:p w14:paraId="6294C7DB">
      <w:pPr>
        <w:pStyle w:val="11"/>
      </w:pPr>
      <w:r>
        <w:rPr>
          <w:rFonts w:hint="eastAsia"/>
          <w:b/>
          <w:bCs/>
        </w:rPr>
        <w:t>4.社会保障和就业支出（类）行政事业单位养老支出（款）机关事业单位职业年金缴费支出（项）</w:t>
      </w:r>
      <w:r>
        <w:rPr>
          <w:rFonts w:hint="eastAsia"/>
          <w:lang w:val="en" w:eastAsia="zh-CN"/>
        </w:rPr>
        <w:t>2026年</w:t>
      </w:r>
      <w:r>
        <w:rPr>
          <w:rFonts w:hint="eastAsia"/>
        </w:rPr>
        <w:t>预算</w:t>
      </w:r>
      <w:r>
        <w:rPr>
          <w:rFonts w:hint="eastAsia"/>
          <w:lang w:val="en-US" w:eastAsia="zh-CN"/>
        </w:rPr>
        <w:t>31.11</w:t>
      </w:r>
      <w:r>
        <w:rPr>
          <w:rFonts w:hint="eastAsia"/>
        </w:rPr>
        <w:t>万元，比</w:t>
      </w:r>
      <w:r>
        <w:rPr>
          <w:rFonts w:hint="eastAsia"/>
          <w:lang w:val="en" w:eastAsia="zh-CN"/>
        </w:rPr>
        <w:t>2025年</w:t>
      </w:r>
      <w:r>
        <w:rPr>
          <w:rFonts w:hint="eastAsia"/>
        </w:rPr>
        <w:t>预算增加</w:t>
      </w:r>
      <w:r>
        <w:rPr>
          <w:rFonts w:hint="eastAsia"/>
          <w:lang w:val="en-US" w:eastAsia="zh-CN"/>
        </w:rPr>
        <w:t>4.78</w:t>
      </w:r>
      <w:r>
        <w:rPr>
          <w:rFonts w:hint="eastAsia"/>
        </w:rPr>
        <w:t>万元，增长</w:t>
      </w:r>
      <w:r>
        <w:rPr>
          <w:rFonts w:hint="eastAsia"/>
          <w:lang w:val="en-US" w:eastAsia="zh-CN"/>
        </w:rPr>
        <w:t>18.15</w:t>
      </w:r>
      <w:r>
        <w:rPr>
          <w:rFonts w:hint="eastAsia"/>
        </w:rPr>
        <w:t>%，增长原因主要是</w:t>
      </w:r>
      <w:r>
        <w:rPr>
          <w:rFonts w:hint="eastAsia"/>
          <w:lang w:val="en-US" w:eastAsia="zh-CN"/>
        </w:rPr>
        <w:t>2025年新增行政人员2人，事业人员2人，相关社会保障费用增加</w:t>
      </w:r>
      <w:r>
        <w:rPr>
          <w:rFonts w:hint="eastAsia"/>
        </w:rPr>
        <w:t>。</w:t>
      </w:r>
    </w:p>
    <w:p w14:paraId="72039474">
      <w:pPr>
        <w:pStyle w:val="11"/>
        <w:rPr>
          <w:rFonts w:hint="eastAsia"/>
          <w:lang w:val="en-US" w:eastAsia="zh-CN"/>
        </w:rPr>
      </w:pPr>
      <w:r>
        <w:rPr>
          <w:rFonts w:hint="eastAsia"/>
          <w:b/>
          <w:bCs/>
          <w:lang w:val="en-US" w:eastAsia="zh-CN"/>
        </w:rPr>
        <w:t>5、卫生健康支出（类）计划生育事务（款）其他计划生育事务支出（项）</w:t>
      </w:r>
      <w:r>
        <w:rPr>
          <w:rFonts w:hint="eastAsia"/>
          <w:lang w:val="en-US" w:eastAsia="zh-CN"/>
        </w:rPr>
        <w:t>2026年预算3.94万元，比2025年预算增加3.94万元，增长原因主要是2026年新增科目。</w:t>
      </w:r>
    </w:p>
    <w:p w14:paraId="0EDC1B0C">
      <w:pPr>
        <w:pStyle w:val="11"/>
        <w:rPr>
          <w:rFonts w:hint="eastAsia"/>
          <w:b w:val="0"/>
          <w:bCs w:val="0"/>
          <w:lang w:val="en-US" w:eastAsia="zh-CN"/>
        </w:rPr>
      </w:pPr>
      <w:r>
        <w:rPr>
          <w:rFonts w:hint="eastAsia"/>
          <w:b/>
          <w:bCs/>
          <w:lang w:val="en-US" w:eastAsia="zh-CN"/>
        </w:rPr>
        <w:t>6、卫生健康支出（类）行政事业单位医疗（款）行政单位医疗（项）</w:t>
      </w:r>
      <w:r>
        <w:rPr>
          <w:rFonts w:hint="eastAsia"/>
          <w:b w:val="0"/>
          <w:bCs w:val="0"/>
          <w:lang w:val="en-US" w:eastAsia="zh-CN"/>
        </w:rPr>
        <w:t>2026年预算12.43万元，比2025年预算增加1.92万元，增长18.27%，增长原因主要是2025年新增行政人员2人，相关人员类的医疗费用增加。</w:t>
      </w:r>
    </w:p>
    <w:p w14:paraId="2CC7C96F">
      <w:pPr>
        <w:pStyle w:val="11"/>
        <w:rPr>
          <w:rFonts w:hint="eastAsia"/>
          <w:b w:val="0"/>
          <w:bCs w:val="0"/>
          <w:lang w:val="en-US" w:eastAsia="zh-CN"/>
        </w:rPr>
      </w:pPr>
      <w:r>
        <w:rPr>
          <w:rFonts w:hint="eastAsia"/>
          <w:b/>
          <w:bCs/>
          <w:lang w:val="en-US" w:eastAsia="zh-CN"/>
        </w:rPr>
        <w:t>7、卫生健康支出（类）行政事业单位医疗（款）事业单位医疗（项）</w:t>
      </w:r>
      <w:r>
        <w:rPr>
          <w:rFonts w:hint="eastAsia"/>
          <w:b w:val="0"/>
          <w:bCs w:val="0"/>
          <w:lang w:val="en-US" w:eastAsia="zh-CN"/>
        </w:rPr>
        <w:t>2026年预算6.05万元，比2025年预算增加1.13万元，增长22.97%，增长原因主要是2025年新增事业人员2人，相关人员类的医疗费用增加。</w:t>
      </w:r>
    </w:p>
    <w:p w14:paraId="5BA1583A">
      <w:pPr>
        <w:pStyle w:val="11"/>
        <w:rPr>
          <w:rFonts w:hint="default"/>
          <w:b w:val="0"/>
          <w:bCs w:val="0"/>
          <w:lang w:val="en-US" w:eastAsia="zh-CN"/>
        </w:rPr>
      </w:pPr>
      <w:r>
        <w:rPr>
          <w:rFonts w:hint="eastAsia"/>
          <w:b/>
          <w:bCs/>
          <w:lang w:val="en-US" w:eastAsia="zh-CN"/>
        </w:rPr>
        <w:t>8、农林水支出（类）农业农村（款）行政运行（项）</w:t>
      </w:r>
      <w:r>
        <w:rPr>
          <w:rFonts w:hint="eastAsia"/>
          <w:b w:val="0"/>
          <w:bCs w:val="0"/>
          <w:lang w:val="en-US" w:eastAsia="zh-CN"/>
        </w:rPr>
        <w:t>2026年预算379.52万元，比2025年预算减少105.59万元，减少21.77%，减少原因主要是特定项目类别中2025年编制预算纳入行政运行，2026年修改分类科目，纳入农村社会事业中。</w:t>
      </w:r>
    </w:p>
    <w:p w14:paraId="3916F4D4">
      <w:pPr>
        <w:pStyle w:val="11"/>
        <w:rPr>
          <w:rFonts w:hint="eastAsia"/>
          <w:b w:val="0"/>
          <w:bCs w:val="0"/>
          <w:lang w:val="en-US" w:eastAsia="zh-CN"/>
        </w:rPr>
      </w:pPr>
      <w:r>
        <w:rPr>
          <w:rFonts w:hint="eastAsia"/>
          <w:b/>
          <w:bCs/>
          <w:lang w:val="en-US" w:eastAsia="zh-CN"/>
        </w:rPr>
        <w:t>9、农林水支出（类）农业农村（款）事业运行（项）</w:t>
      </w:r>
      <w:r>
        <w:rPr>
          <w:rFonts w:hint="eastAsia"/>
          <w:b w:val="0"/>
          <w:bCs w:val="0"/>
          <w:lang w:val="en-US" w:eastAsia="zh-CN"/>
        </w:rPr>
        <w:t>2026年预算181.73万元，比2025年预算28.07万元，增长18.27%，增长原因主要是2025年人员增加，综合定额等经费相应增加。</w:t>
      </w:r>
    </w:p>
    <w:p w14:paraId="237AEE03">
      <w:pPr>
        <w:pStyle w:val="11"/>
        <w:rPr>
          <w:rFonts w:hint="eastAsia"/>
          <w:b w:val="0"/>
          <w:bCs w:val="0"/>
          <w:lang w:val="en-US" w:eastAsia="zh-CN"/>
        </w:rPr>
      </w:pPr>
      <w:r>
        <w:rPr>
          <w:rFonts w:hint="eastAsia"/>
          <w:b/>
          <w:bCs/>
          <w:lang w:val="en-US" w:eastAsia="zh-CN"/>
        </w:rPr>
        <w:t>10、农林水支出（类）农业农村（款）农村社会事业（项）</w:t>
      </w:r>
      <w:r>
        <w:rPr>
          <w:rFonts w:hint="eastAsia"/>
          <w:b w:val="0"/>
          <w:bCs w:val="0"/>
          <w:lang w:val="en-US" w:eastAsia="zh-CN"/>
        </w:rPr>
        <w:t>2026年预算39.55万元，比2025年预算增加39.55万元，增长原因主要是特定项目类2026年分类科目修改成农村社会事业。</w:t>
      </w:r>
    </w:p>
    <w:p w14:paraId="10B07CF2">
      <w:pPr>
        <w:pStyle w:val="11"/>
        <w:rPr>
          <w:rFonts w:hint="eastAsia"/>
          <w:b w:val="0"/>
          <w:bCs w:val="0"/>
          <w:lang w:val="en-US" w:eastAsia="zh-CN"/>
        </w:rPr>
      </w:pPr>
      <w:r>
        <w:rPr>
          <w:rFonts w:hint="eastAsia"/>
          <w:b/>
          <w:bCs/>
          <w:lang w:val="en-US" w:eastAsia="zh-CN"/>
        </w:rPr>
        <w:t>11、农林水支出（类）农村综合改革（款）对村民委员会和村党支部的补助（项）</w:t>
      </w:r>
      <w:r>
        <w:rPr>
          <w:rFonts w:hint="eastAsia"/>
          <w:b w:val="0"/>
          <w:bCs w:val="0"/>
          <w:lang w:val="en-US" w:eastAsia="zh-CN"/>
        </w:rPr>
        <w:t>2026年预算133.50万元，比2025年预算增加133.50万元，增长原因主要是2025年支出类别纳入行政运行中，2026年进行修改，纳入对村民委员会和村党支部补助中。</w:t>
      </w:r>
    </w:p>
    <w:p w14:paraId="326B96F5">
      <w:pPr>
        <w:pStyle w:val="11"/>
        <w:rPr>
          <w:rFonts w:hint="default"/>
          <w:b w:val="0"/>
          <w:bCs w:val="0"/>
          <w:lang w:val="en-US" w:eastAsia="zh-CN"/>
        </w:rPr>
      </w:pPr>
      <w:r>
        <w:rPr>
          <w:rFonts w:hint="eastAsia"/>
          <w:b/>
          <w:bCs/>
          <w:lang w:val="en-US" w:eastAsia="zh-CN"/>
        </w:rPr>
        <w:t>12、住房保障支出（类）住房改革支出（款）住房公积金（项）</w:t>
      </w:r>
      <w:r>
        <w:rPr>
          <w:rFonts w:hint="eastAsia"/>
          <w:b w:val="0"/>
          <w:bCs w:val="0"/>
          <w:lang w:val="en-US" w:eastAsia="zh-CN"/>
        </w:rPr>
        <w:t>2026年预算58.77万元，比2025年预算增加8.49万元，增长16.89%，增长原因主要是人员增加，相关住房公积金的人员类经费增加。</w:t>
      </w:r>
    </w:p>
    <w:p w14:paraId="3D50F87C">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六</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一般公共预算基本支出情况说明</w:t>
      </w:r>
    </w:p>
    <w:p w14:paraId="60BD9244">
      <w:pPr>
        <w:keepNext w:val="0"/>
        <w:keepLines w:val="0"/>
        <w:pageBreakBefore w:val="0"/>
        <w:kinsoku/>
        <w:overflowPunct/>
        <w:topLinePunct w:val="0"/>
        <w:autoSpaceDE/>
        <w:autoSpaceDN/>
        <w:bidi w:val="0"/>
        <w:spacing w:line="5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歙县</w:t>
      </w:r>
      <w:r>
        <w:rPr>
          <w:rFonts w:hint="eastAsia" w:eastAsia="仿宋_GB2312" w:cs="Times New Roman"/>
          <w:kern w:val="2"/>
          <w:sz w:val="32"/>
          <w:szCs w:val="32"/>
          <w:lang w:val="en-US" w:eastAsia="zh-CN" w:bidi="ar-SA"/>
        </w:rPr>
        <w:t>长陔乡人民政府</w:t>
      </w:r>
      <w:r>
        <w:rPr>
          <w:rFonts w:hint="eastAsia" w:ascii="Times New Roman" w:hAnsi="Times New Roman" w:eastAsia="仿宋_GB2312" w:cs="Times New Roman"/>
          <w:kern w:val="2"/>
          <w:sz w:val="32"/>
          <w:szCs w:val="32"/>
          <w:lang w:val="en-US" w:eastAsia="zh-CN" w:bidi="ar-SA"/>
        </w:rPr>
        <w:t>2026年一般公共预算基本支出</w:t>
      </w:r>
      <w:r>
        <w:rPr>
          <w:rFonts w:hint="eastAsia" w:eastAsia="仿宋_GB2312" w:cs="Times New Roman"/>
          <w:kern w:val="2"/>
          <w:sz w:val="32"/>
          <w:szCs w:val="32"/>
          <w:lang w:val="en-US" w:eastAsia="zh-CN" w:bidi="ar-SA"/>
        </w:rPr>
        <w:t>772.34</w:t>
      </w:r>
      <w:r>
        <w:rPr>
          <w:rFonts w:hint="eastAsia" w:ascii="Times New Roman" w:hAnsi="Times New Roman" w:eastAsia="仿宋_GB2312" w:cs="Times New Roman"/>
          <w:kern w:val="2"/>
          <w:sz w:val="32"/>
          <w:szCs w:val="32"/>
          <w:lang w:val="en-US" w:eastAsia="zh-CN" w:bidi="ar-SA"/>
        </w:rPr>
        <w:t>元，其中：人员经费</w:t>
      </w:r>
      <w:r>
        <w:rPr>
          <w:rFonts w:hint="eastAsia" w:eastAsia="仿宋_GB2312" w:cs="Times New Roman"/>
          <w:kern w:val="2"/>
          <w:sz w:val="32"/>
          <w:szCs w:val="32"/>
          <w:lang w:val="en-US" w:eastAsia="zh-CN" w:bidi="ar-SA"/>
        </w:rPr>
        <w:t>694.92</w:t>
      </w:r>
      <w:r>
        <w:rPr>
          <w:rFonts w:hint="eastAsia" w:ascii="Times New Roman" w:hAnsi="Times New Roman" w:eastAsia="仿宋_GB2312" w:cs="Times New Roman"/>
          <w:kern w:val="2"/>
          <w:sz w:val="32"/>
          <w:szCs w:val="32"/>
          <w:lang w:val="en-US" w:eastAsia="zh-CN" w:bidi="ar-SA"/>
        </w:rPr>
        <w:t>万元，公用经费</w:t>
      </w:r>
      <w:r>
        <w:rPr>
          <w:rFonts w:hint="eastAsia" w:eastAsia="仿宋_GB2312" w:cs="Times New Roman"/>
          <w:kern w:val="2"/>
          <w:sz w:val="32"/>
          <w:szCs w:val="32"/>
          <w:lang w:val="en-US" w:eastAsia="zh-CN" w:bidi="ar-SA"/>
        </w:rPr>
        <w:t>77.42</w:t>
      </w:r>
      <w:r>
        <w:rPr>
          <w:rFonts w:hint="eastAsia" w:ascii="Times New Roman" w:hAnsi="Times New Roman" w:eastAsia="仿宋_GB2312" w:cs="Times New Roman"/>
          <w:kern w:val="2"/>
          <w:sz w:val="32"/>
          <w:szCs w:val="32"/>
          <w:lang w:val="en-US" w:eastAsia="zh-CN" w:bidi="ar-SA"/>
        </w:rPr>
        <w:t>万元。</w:t>
      </w:r>
    </w:p>
    <w:p w14:paraId="7368B838">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（一）人员经费</w:t>
      </w:r>
      <w:r>
        <w:rPr>
          <w:rFonts w:hint="eastAsia" w:eastAsia="仿宋_GB2312" w:cs="Times New Roman"/>
          <w:kern w:val="2"/>
          <w:sz w:val="32"/>
          <w:szCs w:val="32"/>
          <w:lang w:val="en-US" w:eastAsia="zh-CN" w:bidi="ar-SA"/>
        </w:rPr>
        <w:t>694.92</w:t>
      </w:r>
      <w:r>
        <w:rPr>
          <w:rFonts w:hint="default" w:ascii="Times New Roman" w:hAnsi="Times New Roman" w:eastAsia="仿宋_GB2312" w:cs="Times New Roman"/>
          <w:kern w:val="2"/>
          <w:sz w:val="32"/>
          <w:szCs w:val="32"/>
          <w:lang w:val="en-US" w:eastAsia="zh-CN" w:bidi="ar-SA"/>
        </w:rPr>
        <w:t>万元，主要包括:基本工资、津贴补贴、奖金、绩效工资、机关事业单位基本养老保险费、职业年金缴费、职工基本医疗保险缴费、其他社会保障缴费、住房公积金、医疗费、其他工资福利支出、退休费、生活补助</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奖励金。</w:t>
      </w:r>
    </w:p>
    <w:p w14:paraId="23C71C8B">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（二）公用经费</w:t>
      </w:r>
      <w:r>
        <w:rPr>
          <w:rFonts w:hint="eastAsia" w:eastAsia="仿宋_GB2312" w:cs="Times New Roman"/>
          <w:kern w:val="2"/>
          <w:sz w:val="32"/>
          <w:szCs w:val="32"/>
          <w:lang w:val="en-US" w:eastAsia="zh-CN" w:bidi="ar-SA"/>
        </w:rPr>
        <w:t>77.42</w:t>
      </w:r>
      <w:r>
        <w:rPr>
          <w:rFonts w:hint="default" w:ascii="Times New Roman" w:hAnsi="Times New Roman" w:eastAsia="仿宋_GB2312" w:cs="Times New Roman"/>
          <w:kern w:val="2"/>
          <w:sz w:val="32"/>
          <w:szCs w:val="32"/>
          <w:lang w:val="en-US" w:eastAsia="zh-CN" w:bidi="ar-SA"/>
        </w:rPr>
        <w:t>万元，主要包括：</w:t>
      </w:r>
      <w:r>
        <w:rPr>
          <w:rFonts w:hint="eastAsia" w:eastAsia="仿宋_GB2312" w:cs="Times New Roman"/>
          <w:kern w:val="2"/>
          <w:sz w:val="32"/>
          <w:szCs w:val="32"/>
          <w:lang w:val="en-US" w:eastAsia="zh-CN" w:bidi="ar-SA"/>
        </w:rPr>
        <w:t>伙食补助费、住房公积金、其他工资福利支出、</w:t>
      </w:r>
      <w:r>
        <w:rPr>
          <w:rFonts w:hint="default" w:ascii="Times New Roman" w:hAnsi="Times New Roman" w:eastAsia="仿宋_GB2312" w:cs="Times New Roman"/>
          <w:kern w:val="2"/>
          <w:sz w:val="32"/>
          <w:szCs w:val="32"/>
          <w:lang w:val="en-US" w:eastAsia="zh-CN" w:bidi="ar-SA"/>
        </w:rPr>
        <w:t>办公费、电费、邮电费、差旅费、培训费、公务接待费、工会经费、其他交通费用、其他商品服务支出</w:t>
      </w:r>
      <w:r>
        <w:rPr>
          <w:rFonts w:hint="eastAsia" w:eastAsia="仿宋_GB2312" w:cs="Times New Roman"/>
          <w:kern w:val="2"/>
          <w:sz w:val="32"/>
          <w:szCs w:val="32"/>
          <w:lang w:val="en-US" w:eastAsia="zh-CN" w:bidi="ar-SA"/>
        </w:rPr>
        <w:t>。</w:t>
      </w:r>
    </w:p>
    <w:p w14:paraId="76CAF5C6">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七</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政府性基金预算拨款情况说明</w:t>
      </w:r>
    </w:p>
    <w:p w14:paraId="58538744">
      <w:pPr>
        <w:pStyle w:val="11"/>
      </w:pPr>
      <w:r>
        <w:rPr>
          <w:rFonts w:hint="eastAsia"/>
          <w:lang w:eastAsia="zh-CN"/>
        </w:rPr>
        <w:t>歙县</w:t>
      </w:r>
      <w:r>
        <w:rPr>
          <w:rFonts w:hint="eastAsia"/>
          <w:lang w:val="en-US" w:eastAsia="zh-CN"/>
        </w:rPr>
        <w:t>长陔乡人民政府</w:t>
      </w:r>
      <w:r>
        <w:rPr>
          <w:rFonts w:hint="eastAsia"/>
          <w:lang w:val="en" w:eastAsia="zh-CN"/>
        </w:rPr>
        <w:t>2026年</w:t>
      </w:r>
      <w:r>
        <w:t>没有政府性基金预算拨款收入，也没有使用政府性基金预算拨款安排的支出。</w:t>
      </w:r>
    </w:p>
    <w:p w14:paraId="46705A7A">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八</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国有资本经营预算拨款情况说明</w:t>
      </w:r>
    </w:p>
    <w:p w14:paraId="39BBF719">
      <w:pPr>
        <w:pStyle w:val="11"/>
      </w:pPr>
      <w:r>
        <w:rPr>
          <w:rFonts w:hint="eastAsia"/>
          <w:lang w:eastAsia="zh-CN"/>
        </w:rPr>
        <w:t>歙县</w:t>
      </w:r>
      <w:r>
        <w:rPr>
          <w:rFonts w:hint="eastAsia"/>
          <w:lang w:val="en-US" w:eastAsia="zh-CN"/>
        </w:rPr>
        <w:t>长陔乡人民政府</w:t>
      </w:r>
      <w:r>
        <w:rPr>
          <w:rFonts w:hint="eastAsia"/>
          <w:lang w:val="en" w:eastAsia="zh-CN"/>
        </w:rPr>
        <w:t>2026年</w:t>
      </w:r>
      <w:r>
        <w:t>没有国有资本经营预算拨款收入，也没有使用国有资本经营预算拨款安排的支出。</w:t>
      </w:r>
    </w:p>
    <w:p w14:paraId="6C140C5A">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九、关于</w:t>
      </w:r>
      <w:r>
        <w:rPr>
          <w:rFonts w:hint="eastAsia" w:ascii="黑体" w:hAnsi="黑体" w:eastAsia="黑体" w:cs="Times New Roman"/>
          <w:sz w:val="32"/>
          <w:szCs w:val="32"/>
          <w:lang w:val="en" w:eastAsia="zh-CN"/>
        </w:rPr>
        <w:t>2026年</w:t>
      </w:r>
      <w:r>
        <w:rPr>
          <w:rFonts w:hint="eastAsia" w:ascii="黑体" w:hAnsi="黑体" w:eastAsia="黑体" w:cs="Times New Roman"/>
          <w:sz w:val="32"/>
          <w:szCs w:val="32"/>
        </w:rPr>
        <w:t>项目支出表的说明</w:t>
      </w:r>
    </w:p>
    <w:p w14:paraId="08BFBE3D">
      <w:pPr>
        <w:pStyle w:val="11"/>
        <w:rPr>
          <w:rFonts w:ascii="仿宋_GB2312"/>
        </w:rPr>
      </w:pPr>
      <w:r>
        <w:rPr>
          <w:rFonts w:hint="eastAsia" w:ascii="仿宋_GB2312"/>
          <w:lang w:eastAsia="zh-CN"/>
        </w:rPr>
        <w:t>歙县</w:t>
      </w:r>
      <w:r>
        <w:rPr>
          <w:rFonts w:hint="eastAsia" w:ascii="仿宋_GB2312"/>
          <w:lang w:val="en-US" w:eastAsia="zh-CN"/>
        </w:rPr>
        <w:t>长陔乡人民政府</w:t>
      </w:r>
      <w:r>
        <w:rPr>
          <w:rFonts w:hint="eastAsia" w:ascii="仿宋_GB2312"/>
          <w:lang w:val="en" w:eastAsia="zh-CN"/>
        </w:rPr>
        <w:t>2026年</w:t>
      </w:r>
      <w:r>
        <w:rPr>
          <w:rFonts w:hint="eastAsia" w:ascii="仿宋_GB2312"/>
        </w:rPr>
        <w:t>预算共安排项目支出</w:t>
      </w:r>
      <w:r>
        <w:rPr>
          <w:rFonts w:hint="eastAsia" w:ascii="仿宋_GB2312"/>
          <w:lang w:val="en-US" w:eastAsia="zh-CN"/>
        </w:rPr>
        <w:t>176.99</w:t>
      </w:r>
      <w:r>
        <w:rPr>
          <w:rFonts w:hint="eastAsia" w:ascii="仿宋_GB2312"/>
        </w:rPr>
        <w:t>万元，比</w:t>
      </w:r>
      <w:r>
        <w:rPr>
          <w:rFonts w:hint="eastAsia" w:ascii="仿宋_GB2312"/>
          <w:lang w:val="en" w:eastAsia="zh-CN"/>
        </w:rPr>
        <w:t>2025年</w:t>
      </w:r>
      <w:r>
        <w:rPr>
          <w:rFonts w:hint="eastAsia" w:ascii="仿宋_GB2312"/>
        </w:rPr>
        <w:t>预算增加</w:t>
      </w:r>
      <w:r>
        <w:rPr>
          <w:rFonts w:hint="eastAsia" w:ascii="仿宋_GB2312"/>
          <w:lang w:val="en-US" w:eastAsia="zh-CN"/>
        </w:rPr>
        <w:t>3.87</w:t>
      </w:r>
      <w:r>
        <w:rPr>
          <w:rFonts w:hint="eastAsia" w:ascii="仿宋_GB2312"/>
        </w:rPr>
        <w:t>万元，增长</w:t>
      </w:r>
      <w:r>
        <w:rPr>
          <w:rFonts w:hint="eastAsia" w:ascii="仿宋_GB2312"/>
          <w:lang w:val="en-US" w:eastAsia="zh-CN"/>
        </w:rPr>
        <w:t>2.24</w:t>
      </w:r>
      <w:r>
        <w:rPr>
          <w:rFonts w:hint="eastAsia" w:ascii="仿宋_GB2312"/>
        </w:rPr>
        <w:t>%，增</w:t>
      </w:r>
      <w:r>
        <w:rPr>
          <w:rFonts w:hint="eastAsia" w:ascii="仿宋_GB2312"/>
          <w:highlight w:val="none"/>
        </w:rPr>
        <w:t>长原因主要是</w:t>
      </w:r>
      <w:r>
        <w:rPr>
          <w:rFonts w:hint="eastAsia" w:ascii="仿宋_GB2312"/>
          <w:highlight w:val="none"/>
          <w:lang w:val="en-US" w:eastAsia="zh-CN"/>
        </w:rPr>
        <w:t>根据乡镇发展需求，2026村级支出经费增加</w:t>
      </w:r>
      <w:r>
        <w:rPr>
          <w:rFonts w:hint="eastAsia" w:ascii="仿宋_GB2312"/>
          <w:highlight w:val="none"/>
        </w:rPr>
        <w:t>。主要包括：本年财政拨款安排</w:t>
      </w:r>
      <w:r>
        <w:rPr>
          <w:rFonts w:hint="eastAsia" w:ascii="仿宋_GB2312"/>
          <w:highlight w:val="none"/>
          <w:lang w:val="en-US" w:eastAsia="zh-CN"/>
        </w:rPr>
        <w:t>176.99</w:t>
      </w:r>
      <w:r>
        <w:rPr>
          <w:rFonts w:hint="eastAsia" w:ascii="仿宋_GB2312"/>
          <w:highlight w:val="none"/>
        </w:rPr>
        <w:t>万元（其中</w:t>
      </w:r>
      <w:r>
        <w:rPr>
          <w:rFonts w:hint="eastAsia" w:ascii="仿宋_GB2312"/>
          <w:highlight w:val="none"/>
          <w:lang w:eastAsia="zh-CN"/>
        </w:rPr>
        <w:t>：</w:t>
      </w:r>
      <w:r>
        <w:rPr>
          <w:rFonts w:hint="eastAsia" w:ascii="仿宋_GB2312"/>
          <w:highlight w:val="none"/>
        </w:rPr>
        <w:t xml:space="preserve">一般公共预算拨款安排 </w:t>
      </w:r>
      <w:r>
        <w:rPr>
          <w:rFonts w:hint="eastAsia" w:ascii="仿宋_GB2312"/>
          <w:highlight w:val="none"/>
          <w:lang w:val="en-US" w:eastAsia="zh-CN"/>
        </w:rPr>
        <w:t>176.99</w:t>
      </w:r>
      <w:r>
        <w:rPr>
          <w:rFonts w:hint="eastAsia" w:ascii="仿宋_GB2312"/>
          <w:highlight w:val="none"/>
        </w:rPr>
        <w:t>万元，政府性基金预算拨款安排</w:t>
      </w:r>
      <w:r>
        <w:rPr>
          <w:rFonts w:hint="eastAsia" w:ascii="仿宋_GB2312"/>
          <w:highlight w:val="none"/>
          <w:lang w:val="en-US" w:eastAsia="zh-CN"/>
        </w:rPr>
        <w:t>0.00</w:t>
      </w:r>
      <w:r>
        <w:rPr>
          <w:rFonts w:hint="eastAsia" w:ascii="仿宋_GB2312"/>
          <w:highlight w:val="none"/>
        </w:rPr>
        <w:t>万元，国有资本经营预算拨款安排</w:t>
      </w:r>
      <w:r>
        <w:rPr>
          <w:rFonts w:hint="eastAsia" w:ascii="仿宋_GB2312"/>
          <w:highlight w:val="none"/>
          <w:lang w:val="en-US" w:eastAsia="zh-CN"/>
        </w:rPr>
        <w:t>0.00</w:t>
      </w:r>
      <w:r>
        <w:rPr>
          <w:rFonts w:hint="eastAsia" w:ascii="仿宋_GB2312"/>
          <w:highlight w:val="none"/>
        </w:rPr>
        <w:t xml:space="preserve">万元），财政拨款结转结余安排 </w:t>
      </w:r>
      <w:r>
        <w:rPr>
          <w:rFonts w:hint="eastAsia" w:ascii="仿宋_GB2312"/>
          <w:highlight w:val="none"/>
          <w:lang w:val="en-US" w:eastAsia="zh-CN"/>
        </w:rPr>
        <w:t>0.00</w:t>
      </w:r>
      <w:r>
        <w:rPr>
          <w:rFonts w:hint="eastAsia" w:ascii="仿宋_GB2312"/>
          <w:highlight w:val="none"/>
        </w:rPr>
        <w:t>万元（其中</w:t>
      </w:r>
      <w:r>
        <w:rPr>
          <w:rFonts w:hint="eastAsia" w:ascii="仿宋_GB2312"/>
          <w:highlight w:val="none"/>
          <w:lang w:eastAsia="zh-CN"/>
        </w:rPr>
        <w:t>：</w:t>
      </w:r>
      <w:r>
        <w:rPr>
          <w:rFonts w:hint="eastAsia" w:ascii="仿宋_GB2312"/>
          <w:highlight w:val="none"/>
        </w:rPr>
        <w:t xml:space="preserve">一般公共预算拨款安排 </w:t>
      </w:r>
      <w:r>
        <w:rPr>
          <w:rFonts w:hint="eastAsia" w:ascii="仿宋_GB2312"/>
          <w:highlight w:val="none"/>
          <w:lang w:val="en-US" w:eastAsia="zh-CN"/>
        </w:rPr>
        <w:t>0.00</w:t>
      </w:r>
      <w:r>
        <w:rPr>
          <w:rFonts w:hint="eastAsia" w:ascii="仿宋_GB2312"/>
          <w:highlight w:val="none"/>
        </w:rPr>
        <w:t>万元，政府性基金预算拨款安排</w:t>
      </w:r>
      <w:r>
        <w:rPr>
          <w:rFonts w:hint="eastAsia" w:ascii="仿宋_GB2312"/>
          <w:highlight w:val="none"/>
          <w:lang w:val="en-US" w:eastAsia="zh-CN"/>
        </w:rPr>
        <w:t>0.00</w:t>
      </w:r>
      <w:r>
        <w:rPr>
          <w:rFonts w:hint="eastAsia" w:ascii="仿宋_GB2312"/>
          <w:highlight w:val="none"/>
        </w:rPr>
        <w:t>万</w:t>
      </w:r>
      <w:r>
        <w:rPr>
          <w:rFonts w:hint="eastAsia" w:ascii="仿宋_GB2312"/>
        </w:rPr>
        <w:t>元，国有资本经营预算拨款安排</w:t>
      </w:r>
      <w:r>
        <w:rPr>
          <w:rFonts w:hint="eastAsia" w:ascii="仿宋_GB2312"/>
          <w:lang w:val="en-US" w:eastAsia="zh-CN"/>
        </w:rPr>
        <w:t>0.00</w:t>
      </w:r>
      <w:r>
        <w:rPr>
          <w:rFonts w:hint="eastAsia" w:ascii="仿宋_GB2312"/>
        </w:rPr>
        <w:t>万元）、财政专户管理资金安排</w:t>
      </w:r>
      <w:r>
        <w:rPr>
          <w:rFonts w:hint="eastAsia" w:ascii="仿宋_GB2312"/>
          <w:lang w:val="en-US" w:eastAsia="zh-CN"/>
        </w:rPr>
        <w:t>0.00</w:t>
      </w:r>
      <w:r>
        <w:rPr>
          <w:rFonts w:hint="eastAsia" w:ascii="仿宋_GB2312"/>
        </w:rPr>
        <w:t>万元和单位资金安排</w:t>
      </w:r>
      <w:r>
        <w:rPr>
          <w:rFonts w:hint="eastAsia" w:ascii="仿宋_GB2312"/>
          <w:lang w:val="en-US" w:eastAsia="zh-CN"/>
        </w:rPr>
        <w:t>0.00</w:t>
      </w:r>
      <w:r>
        <w:rPr>
          <w:rFonts w:hint="eastAsia" w:ascii="仿宋_GB2312"/>
        </w:rPr>
        <w:t>万元。</w:t>
      </w:r>
      <w:r>
        <w:rPr>
          <w:rFonts w:ascii="仿宋_GB2312"/>
        </w:rPr>
        <w:t xml:space="preserve"> </w:t>
      </w:r>
    </w:p>
    <w:p w14:paraId="64EF196F">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十、关于</w:t>
      </w:r>
      <w:r>
        <w:rPr>
          <w:rFonts w:hint="eastAsia" w:ascii="黑体" w:hAnsi="黑体" w:eastAsia="黑体" w:cs="Times New Roman"/>
          <w:sz w:val="32"/>
          <w:szCs w:val="32"/>
          <w:lang w:val="en" w:eastAsia="zh-CN"/>
        </w:rPr>
        <w:t>2026年</w:t>
      </w:r>
      <w:r>
        <w:rPr>
          <w:rFonts w:hint="eastAsia" w:ascii="黑体" w:hAnsi="黑体" w:eastAsia="黑体" w:cs="Times New Roman"/>
          <w:sz w:val="32"/>
          <w:szCs w:val="32"/>
        </w:rPr>
        <w:t>政府采购支出表的说明</w:t>
      </w:r>
    </w:p>
    <w:p w14:paraId="37CF94DC">
      <w:pPr>
        <w:pStyle w:val="11"/>
        <w:rPr>
          <w:rFonts w:ascii="仿宋_GB2312"/>
        </w:rPr>
      </w:pPr>
      <w:r>
        <w:rPr>
          <w:rFonts w:hint="eastAsia" w:ascii="仿宋_GB2312"/>
          <w:lang w:eastAsia="zh-CN"/>
        </w:rPr>
        <w:t>歙县</w:t>
      </w:r>
      <w:r>
        <w:rPr>
          <w:rFonts w:hint="eastAsia" w:ascii="仿宋_GB2312"/>
          <w:lang w:val="en-US" w:eastAsia="zh-CN"/>
        </w:rPr>
        <w:t>长陔乡人民政府</w:t>
      </w:r>
      <w:r>
        <w:rPr>
          <w:rFonts w:hint="eastAsia" w:ascii="仿宋_GB2312"/>
          <w:lang w:val="en" w:eastAsia="zh-CN"/>
        </w:rPr>
        <w:t>2026年</w:t>
      </w:r>
      <w:r>
        <w:rPr>
          <w:rFonts w:hint="eastAsia" w:ascii="仿宋_GB2312"/>
        </w:rPr>
        <w:t>预算安排政府采购支出</w:t>
      </w:r>
      <w:r>
        <w:rPr>
          <w:rFonts w:hint="eastAsia" w:ascii="仿宋_GB2312"/>
          <w:lang w:val="en-US" w:eastAsia="zh-CN"/>
        </w:rPr>
        <w:t>0.93</w:t>
      </w:r>
      <w:r>
        <w:rPr>
          <w:rFonts w:hint="eastAsia" w:ascii="仿宋_GB2312"/>
        </w:rPr>
        <w:t>万元，比</w:t>
      </w:r>
      <w:r>
        <w:rPr>
          <w:rFonts w:hint="eastAsia" w:ascii="仿宋_GB2312"/>
          <w:lang w:val="en" w:eastAsia="zh-CN"/>
        </w:rPr>
        <w:t>2025年</w:t>
      </w:r>
      <w:r>
        <w:rPr>
          <w:rFonts w:hint="eastAsia" w:ascii="仿宋_GB2312"/>
        </w:rPr>
        <w:t>预算</w:t>
      </w:r>
      <w:r>
        <w:rPr>
          <w:rFonts w:hint="eastAsia" w:ascii="仿宋_GB2312"/>
          <w:highlight w:val="none"/>
        </w:rPr>
        <w:t>减少</w:t>
      </w:r>
      <w:r>
        <w:rPr>
          <w:rFonts w:hint="eastAsia" w:ascii="仿宋_GB2312"/>
          <w:highlight w:val="none"/>
          <w:lang w:val="en-US" w:eastAsia="zh-CN"/>
        </w:rPr>
        <w:t>1.97</w:t>
      </w:r>
      <w:r>
        <w:rPr>
          <w:rFonts w:hint="eastAsia" w:ascii="仿宋_GB2312"/>
          <w:highlight w:val="none"/>
        </w:rPr>
        <w:t>万元，下降</w:t>
      </w:r>
      <w:r>
        <w:rPr>
          <w:rFonts w:hint="eastAsia" w:ascii="仿宋_GB2312"/>
          <w:highlight w:val="none"/>
          <w:lang w:val="en-US" w:eastAsia="zh-CN"/>
        </w:rPr>
        <w:t>67.93</w:t>
      </w:r>
      <w:r>
        <w:rPr>
          <w:rFonts w:hint="eastAsia" w:ascii="仿宋_GB2312"/>
          <w:highlight w:val="none"/>
        </w:rPr>
        <w:t>%，下降原因主要</w:t>
      </w:r>
      <w:r>
        <w:rPr>
          <w:rFonts w:hint="eastAsia" w:ascii="仿宋_GB2312"/>
          <w:highlight w:val="none"/>
          <w:lang w:val="en-US" w:eastAsia="zh-CN"/>
        </w:rPr>
        <w:t>是电脑设备由上级部门统一配备，无需采购，采购复印机便于业务办公正常开展，空调设备采购用于公用办公室</w:t>
      </w:r>
      <w:r>
        <w:rPr>
          <w:rFonts w:hint="eastAsia" w:ascii="仿宋_GB2312"/>
          <w:highlight w:val="none"/>
        </w:rPr>
        <w:t>。其中</w:t>
      </w:r>
      <w:r>
        <w:rPr>
          <w:rFonts w:hint="eastAsia" w:ascii="仿宋_GB2312"/>
          <w:highlight w:val="none"/>
          <w:lang w:eastAsia="zh-CN"/>
        </w:rPr>
        <w:t>：</w:t>
      </w:r>
      <w:r>
        <w:rPr>
          <w:rFonts w:hint="eastAsia" w:ascii="仿宋_GB2312"/>
          <w:highlight w:val="none"/>
        </w:rPr>
        <w:t>一般公共预</w:t>
      </w:r>
      <w:r>
        <w:rPr>
          <w:rFonts w:hint="eastAsia" w:ascii="仿宋_GB2312"/>
        </w:rPr>
        <w:t>算安排</w:t>
      </w:r>
      <w:r>
        <w:rPr>
          <w:rFonts w:hint="eastAsia" w:ascii="仿宋_GB2312"/>
          <w:lang w:val="en-US" w:eastAsia="zh-CN"/>
        </w:rPr>
        <w:t>0.93</w:t>
      </w:r>
      <w:r>
        <w:rPr>
          <w:rFonts w:hint="eastAsia" w:ascii="仿宋_GB2312"/>
        </w:rPr>
        <w:t>万元，占</w:t>
      </w:r>
      <w:r>
        <w:rPr>
          <w:rFonts w:hint="eastAsia" w:ascii="仿宋_GB2312"/>
          <w:lang w:val="en-US" w:eastAsia="zh-CN"/>
        </w:rPr>
        <w:t>100</w:t>
      </w:r>
      <w:r>
        <w:rPr>
          <w:rFonts w:hint="eastAsia" w:ascii="仿宋_GB2312"/>
        </w:rPr>
        <w:t>%；政府性基金预算安排</w:t>
      </w:r>
      <w:r>
        <w:rPr>
          <w:rFonts w:hint="eastAsia" w:ascii="仿宋_GB2312"/>
          <w:lang w:val="en-US" w:eastAsia="zh-CN"/>
        </w:rPr>
        <w:t>0.00</w:t>
      </w:r>
      <w:r>
        <w:rPr>
          <w:rFonts w:hint="eastAsia" w:ascii="仿宋_GB2312"/>
        </w:rPr>
        <w:t>万元，占</w:t>
      </w:r>
      <w:r>
        <w:rPr>
          <w:rFonts w:hint="eastAsia" w:ascii="仿宋_GB2312"/>
          <w:lang w:val="en-US" w:eastAsia="zh-CN"/>
        </w:rPr>
        <w:t>0.00</w:t>
      </w:r>
      <w:r>
        <w:rPr>
          <w:rFonts w:hint="eastAsia" w:ascii="仿宋_GB2312"/>
        </w:rPr>
        <w:t>%；国有资本经营预算安排</w:t>
      </w:r>
      <w:r>
        <w:rPr>
          <w:rFonts w:hint="eastAsia" w:ascii="仿宋_GB2312"/>
          <w:lang w:val="en-US" w:eastAsia="zh-CN"/>
        </w:rPr>
        <w:t>0.00</w:t>
      </w:r>
      <w:r>
        <w:rPr>
          <w:rFonts w:hint="eastAsia" w:ascii="仿宋_GB2312"/>
        </w:rPr>
        <w:t>万元，占</w:t>
      </w:r>
      <w:r>
        <w:rPr>
          <w:rFonts w:hint="eastAsia" w:ascii="仿宋_GB2312"/>
          <w:lang w:val="en-US" w:eastAsia="zh-CN"/>
        </w:rPr>
        <w:t>0.00</w:t>
      </w:r>
      <w:r>
        <w:rPr>
          <w:rFonts w:hint="eastAsia" w:ascii="仿宋_GB2312"/>
        </w:rPr>
        <w:t>%；财政专户管理资金安排</w:t>
      </w:r>
      <w:r>
        <w:rPr>
          <w:rFonts w:hint="eastAsia" w:ascii="仿宋_GB2312"/>
          <w:lang w:val="en-US" w:eastAsia="zh-CN"/>
        </w:rPr>
        <w:t>0.00</w:t>
      </w:r>
      <w:r>
        <w:rPr>
          <w:rFonts w:hint="eastAsia" w:ascii="仿宋_GB2312"/>
        </w:rPr>
        <w:t>万元，占</w:t>
      </w:r>
      <w:r>
        <w:rPr>
          <w:rFonts w:hint="eastAsia" w:ascii="仿宋_GB2312"/>
          <w:lang w:val="en-US" w:eastAsia="zh-CN"/>
        </w:rPr>
        <w:t>0.00</w:t>
      </w:r>
      <w:r>
        <w:rPr>
          <w:rFonts w:hint="eastAsia" w:ascii="仿宋_GB2312"/>
        </w:rPr>
        <w:t>%；单位资金安排</w:t>
      </w:r>
      <w:r>
        <w:rPr>
          <w:rFonts w:hint="eastAsia" w:ascii="仿宋_GB2312"/>
          <w:lang w:val="en-US" w:eastAsia="zh-CN"/>
        </w:rPr>
        <w:t>0.00</w:t>
      </w:r>
      <w:r>
        <w:rPr>
          <w:rFonts w:hint="eastAsia" w:ascii="仿宋_GB2312"/>
        </w:rPr>
        <w:t>万元，占</w:t>
      </w:r>
      <w:r>
        <w:rPr>
          <w:rFonts w:hint="eastAsia" w:ascii="仿宋_GB2312"/>
          <w:lang w:val="en-US" w:eastAsia="zh-CN"/>
        </w:rPr>
        <w:t>0.00</w:t>
      </w:r>
      <w:r>
        <w:rPr>
          <w:rFonts w:hint="eastAsia" w:ascii="仿宋_GB2312"/>
        </w:rPr>
        <w:t>%。</w:t>
      </w:r>
    </w:p>
    <w:p w14:paraId="12E5854C">
      <w:pPr>
        <w:pStyle w:val="6"/>
        <w:adjustRightInd w:val="0"/>
        <w:snapToGrid w:val="0"/>
        <w:spacing w:before="0" w:beforeAutospacing="0" w:after="0" w:afterAutospacing="0" w:line="600" w:lineRule="exact"/>
        <w:ind w:firstLine="627" w:firstLineChars="196"/>
        <w:rPr>
          <w:rFonts w:hint="eastAsia" w:ascii="黑体" w:hAnsi="黑体" w:eastAsia="黑体" w:cs="Times New Roman"/>
          <w:sz w:val="32"/>
          <w:szCs w:val="32"/>
        </w:rPr>
      </w:pPr>
      <w:r>
        <w:rPr>
          <w:rFonts w:hint="eastAsia" w:ascii="黑体" w:hAnsi="黑体" w:eastAsia="黑体" w:cs="Times New Roman"/>
          <w:sz w:val="32"/>
          <w:szCs w:val="32"/>
        </w:rPr>
        <w:t>十一、关于</w:t>
      </w:r>
      <w:r>
        <w:rPr>
          <w:rFonts w:hint="eastAsia" w:ascii="黑体" w:hAnsi="黑体" w:eastAsia="黑体" w:cs="Times New Roman"/>
          <w:sz w:val="32"/>
          <w:szCs w:val="32"/>
          <w:lang w:val="en" w:eastAsia="zh-CN"/>
        </w:rPr>
        <w:t>2026年</w:t>
      </w:r>
      <w:r>
        <w:rPr>
          <w:rFonts w:hint="eastAsia" w:ascii="黑体" w:hAnsi="黑体" w:eastAsia="黑体" w:cs="Times New Roman"/>
          <w:sz w:val="32"/>
          <w:szCs w:val="32"/>
        </w:rPr>
        <w:t>政府购买服务支出表的说明</w:t>
      </w:r>
    </w:p>
    <w:p w14:paraId="27B67060">
      <w:pPr>
        <w:pStyle w:val="11"/>
      </w:pPr>
      <w:r>
        <w:rPr>
          <w:rFonts w:hint="eastAsia"/>
          <w:lang w:eastAsia="zh-CN"/>
        </w:rPr>
        <w:t>歙县</w:t>
      </w:r>
      <w:r>
        <w:rPr>
          <w:rFonts w:hint="eastAsia"/>
          <w:lang w:val="en-US" w:eastAsia="zh-CN"/>
        </w:rPr>
        <w:t>长陔乡人民政府</w:t>
      </w:r>
      <w:r>
        <w:rPr>
          <w:rFonts w:hint="eastAsia"/>
          <w:lang w:val="en" w:eastAsia="zh-CN"/>
        </w:rPr>
        <w:t>2026年</w:t>
      </w:r>
      <w:r>
        <w:rPr>
          <w:rFonts w:hint="eastAsia"/>
        </w:rPr>
        <w:t>没有安排政府购买服务支出。</w:t>
      </w:r>
    </w:p>
    <w:p w14:paraId="55B610A4">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hint="eastAsia" w:ascii="黑体" w:hAnsi="黑体" w:eastAsia="黑体" w:cs="Times New Roman"/>
          <w:sz w:val="32"/>
          <w:szCs w:val="32"/>
        </w:rPr>
        <w:t>十二、</w:t>
      </w:r>
      <w:r>
        <w:rPr>
          <w:rFonts w:ascii="黑体" w:hAnsi="黑体" w:eastAsia="黑体" w:cs="Times New Roman"/>
          <w:sz w:val="32"/>
          <w:szCs w:val="32"/>
        </w:rPr>
        <w:t>关于</w:t>
      </w:r>
      <w:r>
        <w:rPr>
          <w:rFonts w:hint="eastAsia" w:ascii="黑体" w:hAnsi="黑体" w:eastAsia="黑体" w:cs="Times New Roman"/>
          <w:sz w:val="32"/>
          <w:szCs w:val="32"/>
          <w:lang w:val="en" w:eastAsia="zh-CN"/>
        </w:rPr>
        <w:t>2026年</w:t>
      </w:r>
      <w:r>
        <w:rPr>
          <w:rFonts w:ascii="黑体" w:hAnsi="黑体" w:eastAsia="黑体" w:cs="Times New Roman"/>
          <w:sz w:val="32"/>
          <w:szCs w:val="32"/>
        </w:rPr>
        <w:t>“三公”经费预算情况说明</w:t>
      </w:r>
    </w:p>
    <w:p w14:paraId="4BC8B0C8">
      <w:pPr>
        <w:pStyle w:val="11"/>
      </w:pPr>
      <w:r>
        <w:t>为全面反映“三公”经费支出，本次公开的“三公”经费预算为部门汇总数。</w:t>
      </w:r>
      <w:r>
        <w:rPr>
          <w:rFonts w:hint="eastAsia"/>
          <w:lang w:val="en" w:eastAsia="zh-CN"/>
        </w:rPr>
        <w:t>2026年</w:t>
      </w:r>
      <w:r>
        <w:t>，</w:t>
      </w:r>
      <w:r>
        <w:rPr>
          <w:rFonts w:hint="eastAsia"/>
          <w:lang w:eastAsia="zh-CN"/>
        </w:rPr>
        <w:t>歙县</w:t>
      </w:r>
      <w:r>
        <w:rPr>
          <w:rFonts w:hint="eastAsia"/>
          <w:lang w:val="en-US" w:eastAsia="zh-CN"/>
        </w:rPr>
        <w:t>长陔乡</w:t>
      </w:r>
      <w:r>
        <w:rPr>
          <w:highlight w:val="none"/>
        </w:rPr>
        <w:t>机关本级和局属单位“三公”经费支出预算</w:t>
      </w:r>
      <w:r>
        <w:rPr>
          <w:rFonts w:hint="eastAsia"/>
          <w:highlight w:val="none"/>
          <w:lang w:val="en-US" w:eastAsia="zh-CN"/>
        </w:rPr>
        <w:t>4.80</w:t>
      </w:r>
      <w:r>
        <w:rPr>
          <w:highlight w:val="none"/>
        </w:rPr>
        <w:t>万元，比</w:t>
      </w:r>
      <w:r>
        <w:rPr>
          <w:rFonts w:hint="eastAsia"/>
          <w:highlight w:val="none"/>
          <w:lang w:val="en" w:eastAsia="zh-CN"/>
        </w:rPr>
        <w:t>2025年</w:t>
      </w:r>
      <w:r>
        <w:rPr>
          <w:highlight w:val="none"/>
        </w:rPr>
        <w:t>预算减少</w:t>
      </w:r>
      <w:r>
        <w:rPr>
          <w:rFonts w:hint="eastAsia" w:ascii="仿宋" w:hAnsi="仿宋" w:eastAsia="仿宋"/>
          <w:highlight w:val="none"/>
          <w:lang w:val="en-US" w:eastAsia="zh-CN"/>
        </w:rPr>
        <w:t>0.20</w:t>
      </w:r>
      <w:r>
        <w:rPr>
          <w:highlight w:val="none"/>
        </w:rPr>
        <w:t>万元，下降</w:t>
      </w:r>
      <w:r>
        <w:rPr>
          <w:rFonts w:hint="eastAsia" w:ascii="仿宋" w:hAnsi="仿宋" w:eastAsia="仿宋"/>
          <w:highlight w:val="none"/>
          <w:lang w:val="en-US" w:eastAsia="zh-CN"/>
        </w:rPr>
        <w:t>4.00</w:t>
      </w:r>
      <w:r>
        <w:rPr>
          <w:highlight w:val="none"/>
        </w:rPr>
        <w:t>%。其中因公出国（境）费</w:t>
      </w:r>
      <w:r>
        <w:rPr>
          <w:rFonts w:hint="eastAsia" w:ascii="仿宋" w:hAnsi="仿宋" w:eastAsia="仿宋"/>
          <w:highlight w:val="none"/>
          <w:lang w:val="en-US" w:eastAsia="zh-CN"/>
        </w:rPr>
        <w:t>0.00</w:t>
      </w:r>
      <w:r>
        <w:rPr>
          <w:highlight w:val="none"/>
        </w:rPr>
        <w:t>万元，公</w:t>
      </w:r>
      <w:r>
        <w:t>务接待费</w:t>
      </w:r>
      <w:r>
        <w:rPr>
          <w:rFonts w:hint="eastAsia" w:ascii="仿宋" w:hAnsi="仿宋" w:eastAsia="仿宋"/>
          <w:lang w:val="en-US" w:eastAsia="zh-CN"/>
        </w:rPr>
        <w:t>4.80</w:t>
      </w:r>
      <w:r>
        <w:t>万元，公务用车购置及运行费</w:t>
      </w:r>
      <w:r>
        <w:rPr>
          <w:rFonts w:hint="eastAsia" w:ascii="仿宋" w:hAnsi="仿宋" w:eastAsia="仿宋"/>
          <w:lang w:val="en-US" w:eastAsia="zh-CN"/>
        </w:rPr>
        <w:t>0.00</w:t>
      </w:r>
      <w:r>
        <w:t>万元。具体情况如下：</w:t>
      </w:r>
    </w:p>
    <w:p w14:paraId="7B2A449B">
      <w:pPr>
        <w:pStyle w:val="11"/>
        <w:ind w:firstLine="643"/>
        <w:rPr>
          <w:color w:val="000000"/>
        </w:rPr>
      </w:pPr>
      <w:r>
        <w:rPr>
          <w:b/>
          <w:bCs/>
        </w:rPr>
        <w:t>因公出国（境）费</w:t>
      </w:r>
      <w:r>
        <w:t>。支出预算</w:t>
      </w:r>
      <w:r>
        <w:rPr>
          <w:rFonts w:hint="eastAsia" w:ascii="仿宋" w:hAnsi="仿宋" w:eastAsia="仿宋"/>
          <w:lang w:val="en-US" w:eastAsia="zh-CN"/>
        </w:rPr>
        <w:t>0.00</w:t>
      </w:r>
      <w:r>
        <w:t>万元，与上年</w:t>
      </w:r>
      <w:r>
        <w:rPr>
          <w:rFonts w:hint="eastAsia"/>
          <w:lang w:val="en-US" w:eastAsia="zh-CN"/>
        </w:rPr>
        <w:t>保持一致</w:t>
      </w:r>
      <w:r>
        <w:t>。经费使用严格执行《</w:t>
      </w:r>
      <w:r>
        <w:rPr>
          <w:rFonts w:hint="eastAsia"/>
          <w:lang w:eastAsia="zh-CN"/>
        </w:rPr>
        <w:t>歙县县</w:t>
      </w:r>
      <w:r>
        <w:t>直党政机关因公临时出国经费管理办法》相关规定。</w:t>
      </w:r>
    </w:p>
    <w:p w14:paraId="51792006">
      <w:pPr>
        <w:pStyle w:val="11"/>
        <w:ind w:firstLine="643"/>
        <w:rPr>
          <w:rFonts w:hint="eastAsia" w:ascii="Times New Roman" w:hAnsi="Times New Roman" w:cs="Times New Roman"/>
        </w:rPr>
      </w:pPr>
      <w:r>
        <w:rPr>
          <w:b/>
          <w:bCs/>
        </w:rPr>
        <w:t>公务用车购置及运行费。</w:t>
      </w:r>
      <w:r>
        <w:t>支出预算</w:t>
      </w:r>
      <w:r>
        <w:rPr>
          <w:rFonts w:hint="eastAsia"/>
          <w:lang w:val="en-US" w:eastAsia="zh-CN"/>
        </w:rPr>
        <w:t>0.00</w:t>
      </w:r>
      <w:r>
        <w:t>万元，比</w:t>
      </w:r>
      <w:r>
        <w:rPr>
          <w:rFonts w:hint="eastAsia"/>
          <w:lang w:val="en" w:eastAsia="zh-CN"/>
        </w:rPr>
        <w:t>2025年</w:t>
      </w:r>
      <w:r>
        <w:t>预算增加（减少）</w:t>
      </w:r>
      <w:r>
        <w:rPr>
          <w:rFonts w:hint="eastAsia"/>
          <w:lang w:val="en-US" w:eastAsia="zh-CN"/>
        </w:rPr>
        <w:t>0.00</w:t>
      </w:r>
      <w:r>
        <w:t>万元，增长（下降）</w:t>
      </w:r>
      <w:r>
        <w:rPr>
          <w:rFonts w:hint="eastAsia"/>
          <w:lang w:val="en-US" w:eastAsia="zh-CN"/>
        </w:rPr>
        <w:t>0.00</w:t>
      </w:r>
      <w:r>
        <w:t>%。其中：公务用车运行费</w:t>
      </w:r>
      <w:r>
        <w:rPr>
          <w:rFonts w:hint="eastAsia"/>
          <w:lang w:val="en-US" w:eastAsia="zh-CN"/>
        </w:rPr>
        <w:t>0.00</w:t>
      </w:r>
      <w:r>
        <w:t>万元，比</w:t>
      </w:r>
      <w:r>
        <w:rPr>
          <w:rFonts w:hint="eastAsia"/>
          <w:lang w:val="en" w:eastAsia="zh-CN"/>
        </w:rPr>
        <w:t>2025年</w:t>
      </w:r>
      <w:r>
        <w:t>预算增加（减少）</w:t>
      </w:r>
      <w:r>
        <w:rPr>
          <w:rFonts w:hint="eastAsia"/>
          <w:lang w:val="en-US" w:eastAsia="zh-CN"/>
        </w:rPr>
        <w:t>0.00</w:t>
      </w:r>
      <w:r>
        <w:t>万元，增长（下降）</w:t>
      </w:r>
      <w:r>
        <w:rPr>
          <w:rFonts w:hint="eastAsia"/>
          <w:lang w:val="en-US" w:eastAsia="zh-CN"/>
        </w:rPr>
        <w:t>0.00</w:t>
      </w:r>
      <w:r>
        <w:t>%，增长持平原因主要是</w:t>
      </w:r>
      <w:r>
        <w:rPr>
          <w:rFonts w:hint="eastAsia"/>
          <w:lang w:val="en-US" w:eastAsia="zh-CN"/>
        </w:rPr>
        <w:t>我乡无公务用车购置业务和运行业务</w:t>
      </w:r>
      <w:r>
        <w:t>，该项经费主要用于车辆燃料费、维修费、过路过桥费等支出；公务用车购置费</w:t>
      </w:r>
      <w:r>
        <w:rPr>
          <w:rFonts w:hint="eastAsia"/>
          <w:lang w:val="en-US" w:eastAsia="zh-CN"/>
        </w:rPr>
        <w:t>0.00</w:t>
      </w:r>
      <w:r>
        <w:t>万元，比</w:t>
      </w:r>
      <w:r>
        <w:rPr>
          <w:rFonts w:hint="eastAsia"/>
          <w:lang w:val="en" w:eastAsia="zh-CN"/>
        </w:rPr>
        <w:t>2025年</w:t>
      </w:r>
      <w:r>
        <w:t>预算增加（减少）</w:t>
      </w:r>
      <w:r>
        <w:rPr>
          <w:rFonts w:hint="eastAsia"/>
          <w:lang w:val="en-US" w:eastAsia="zh-CN"/>
        </w:rPr>
        <w:t>0.00</w:t>
      </w:r>
      <w:r>
        <w:t>万元，增长（下降）</w:t>
      </w:r>
      <w:r>
        <w:rPr>
          <w:rFonts w:hint="eastAsia"/>
          <w:lang w:val="en-US" w:eastAsia="zh-CN"/>
        </w:rPr>
        <w:t>0.00</w:t>
      </w:r>
      <w:r>
        <w:t>%，增长持平原因主要是</w:t>
      </w:r>
      <w:r>
        <w:rPr>
          <w:rFonts w:hint="eastAsia"/>
          <w:lang w:val="en-US" w:eastAsia="zh-CN"/>
        </w:rPr>
        <w:t>我乡无相关业务活动和支出</w:t>
      </w:r>
      <w:r>
        <w:t>。</w:t>
      </w:r>
      <w:r>
        <w:rPr>
          <w:rFonts w:hint="eastAsia" w:ascii="Times New Roman" w:hAnsi="Times New Roman" w:cs="Times New Roman"/>
        </w:rPr>
        <w:t>公务用车购置及运行经费使用严格按照相关规定执行</w:t>
      </w:r>
      <w:r>
        <w:rPr>
          <w:rFonts w:ascii="Times New Roman" w:hAnsi="Times New Roman" w:cs="Times New Roman"/>
        </w:rPr>
        <w:t>。</w:t>
      </w:r>
    </w:p>
    <w:p w14:paraId="657A815D">
      <w:pPr>
        <w:pStyle w:val="11"/>
        <w:ind w:firstLine="643"/>
        <w:rPr>
          <w:rFonts w:hint="eastAsia"/>
          <w:highlight w:val="none"/>
        </w:rPr>
      </w:pPr>
      <w:r>
        <w:rPr>
          <w:b/>
          <w:bCs/>
        </w:rPr>
        <w:t>公务接待费支出</w:t>
      </w:r>
      <w:r>
        <w:rPr>
          <w:rFonts w:hint="eastAsia" w:ascii="仿宋" w:hAnsi="仿宋" w:eastAsia="仿宋"/>
          <w:lang w:val="en-US" w:eastAsia="zh-CN"/>
        </w:rPr>
        <w:t>4.80</w:t>
      </w:r>
      <w:r>
        <w:rPr>
          <w:b/>
          <w:bCs/>
        </w:rPr>
        <w:t>万元。支出预算</w:t>
      </w:r>
      <w:r>
        <w:rPr>
          <w:rFonts w:hint="eastAsia" w:ascii="仿宋" w:hAnsi="仿宋" w:eastAsia="仿宋"/>
          <w:lang w:val="en-US" w:eastAsia="zh-CN"/>
        </w:rPr>
        <w:t>4.80</w:t>
      </w:r>
      <w:r>
        <w:rPr>
          <w:b/>
          <w:bCs/>
        </w:rPr>
        <w:t>万元，</w:t>
      </w:r>
      <w:r>
        <w:t>比</w:t>
      </w:r>
      <w:r>
        <w:rPr>
          <w:rFonts w:hint="eastAsia"/>
          <w:lang w:val="en" w:eastAsia="zh-CN"/>
        </w:rPr>
        <w:t>2025年</w:t>
      </w:r>
      <w:r>
        <w:t>预算减少</w:t>
      </w:r>
      <w:r>
        <w:rPr>
          <w:rFonts w:hint="eastAsia" w:ascii="仿宋" w:hAnsi="仿宋" w:eastAsia="仿宋"/>
          <w:lang w:val="en-US" w:eastAsia="zh-CN"/>
        </w:rPr>
        <w:t>0.20</w:t>
      </w:r>
      <w:r>
        <w:t>万元，下降</w:t>
      </w:r>
      <w:r>
        <w:rPr>
          <w:rFonts w:hint="eastAsia" w:ascii="仿宋" w:hAnsi="仿宋" w:eastAsia="仿宋"/>
          <w:lang w:val="en-US" w:eastAsia="zh-CN"/>
        </w:rPr>
        <w:t>4.00</w:t>
      </w:r>
      <w:r>
        <w:t>%，主要原因是</w:t>
      </w:r>
      <w:r>
        <w:rPr>
          <w:rFonts w:hint="eastAsia"/>
          <w:lang w:val="en-US" w:eastAsia="zh-CN"/>
        </w:rPr>
        <w:t>按照“三公”经费支出逐年递减和只减不增的要求</w:t>
      </w:r>
      <w:r>
        <w:rPr>
          <w:rFonts w:hint="eastAsia"/>
        </w:rPr>
        <w:t>，</w:t>
      </w:r>
      <w:r>
        <w:rPr>
          <w:rFonts w:hint="eastAsia"/>
          <w:lang w:val="en-US" w:eastAsia="zh-CN"/>
        </w:rPr>
        <w:t>2026年我乡将公务接待费进行调减</w:t>
      </w:r>
      <w:r>
        <w:rPr>
          <w:rFonts w:hint="eastAsia"/>
          <w:highlight w:val="none"/>
          <w:lang w:val="en-US" w:eastAsia="zh-CN"/>
        </w:rPr>
        <w:t>。</w:t>
      </w:r>
      <w:r>
        <w:rPr>
          <w:rFonts w:hint="eastAsia"/>
          <w:highlight w:val="none"/>
        </w:rPr>
        <w:t>主要用于</w:t>
      </w:r>
      <w:r>
        <w:rPr>
          <w:rFonts w:hint="eastAsia" w:ascii="TimesNewRoman" w:hAnsi="TimesNewRoman" w:eastAsia="仿宋_GB2312" w:cs="TimesNewRoman"/>
          <w:sz w:val="32"/>
          <w:szCs w:val="32"/>
          <w:highlight w:val="none"/>
          <w:lang w:val="en-US" w:eastAsia="zh-CN"/>
        </w:rPr>
        <w:t>本乡</w:t>
      </w:r>
      <w:r>
        <w:rPr>
          <w:rFonts w:hint="eastAsia"/>
          <w:lang w:val="en-US" w:eastAsia="zh-CN"/>
        </w:rPr>
        <w:t>2026</w:t>
      </w:r>
      <w:r>
        <w:rPr>
          <w:rFonts w:hint="eastAsia" w:ascii="TimesNewRoman" w:hAnsi="TimesNewRoman" w:cs="TimesNewRoman"/>
          <w:sz w:val="32"/>
          <w:szCs w:val="32"/>
          <w:highlight w:val="none"/>
          <w:lang w:val="en-US" w:eastAsia="zh-CN"/>
        </w:rPr>
        <w:t>年度</w:t>
      </w:r>
      <w:r>
        <w:rPr>
          <w:rFonts w:hint="eastAsia" w:ascii="TimesNewRoman" w:hAnsi="TimesNewRoman" w:eastAsia="仿宋_GB2312" w:cs="TimesNewRoman"/>
          <w:sz w:val="32"/>
          <w:szCs w:val="32"/>
          <w:highlight w:val="none"/>
          <w:lang w:val="en-US" w:eastAsia="zh-CN"/>
        </w:rPr>
        <w:t>双招双引阶段的接待费用；相关部门至乡公务交流</w:t>
      </w:r>
      <w:r>
        <w:rPr>
          <w:rFonts w:hint="eastAsia" w:ascii="TimesNewRoman" w:hAnsi="TimesNewRoman" w:cs="TimesNewRoman"/>
          <w:sz w:val="32"/>
          <w:szCs w:val="32"/>
          <w:highlight w:val="none"/>
          <w:lang w:val="en-US" w:eastAsia="zh-CN"/>
        </w:rPr>
        <w:t>等方面支出</w:t>
      </w:r>
      <w:r>
        <w:rPr>
          <w:highlight w:val="none"/>
        </w:rPr>
        <w:t>。经费</w:t>
      </w:r>
      <w:r>
        <w:rPr>
          <w:rFonts w:hint="eastAsia"/>
          <w:highlight w:val="none"/>
          <w:lang w:eastAsia="zh-CN"/>
        </w:rPr>
        <w:t>使用</w:t>
      </w:r>
      <w:r>
        <w:rPr>
          <w:highlight w:val="none"/>
        </w:rPr>
        <w:t>严格执行《党政机关厉行节约反对浪费条例》和《</w:t>
      </w:r>
      <w:r>
        <w:rPr>
          <w:rFonts w:hint="eastAsia"/>
          <w:highlight w:val="none"/>
          <w:lang w:eastAsia="zh-CN"/>
        </w:rPr>
        <w:t>歙县县</w:t>
      </w:r>
      <w:r>
        <w:rPr>
          <w:highlight w:val="none"/>
        </w:rPr>
        <w:t>直机关公务接待费管理暂行办法》等相关规定</w:t>
      </w:r>
      <w:r>
        <w:rPr>
          <w:rFonts w:hint="eastAsia"/>
          <w:highlight w:val="none"/>
        </w:rPr>
        <w:t>。</w:t>
      </w:r>
    </w:p>
    <w:p w14:paraId="0BE1E120">
      <w:pPr>
        <w:pStyle w:val="6"/>
        <w:adjustRightInd w:val="0"/>
        <w:snapToGrid w:val="0"/>
        <w:spacing w:before="0" w:beforeAutospacing="0" w:after="0" w:afterAutospacing="0" w:line="600" w:lineRule="exact"/>
        <w:ind w:firstLine="627" w:firstLineChars="196"/>
        <w:rPr>
          <w:rFonts w:ascii="黑体" w:hAnsi="黑体" w:eastAsia="黑体" w:cs="Times New Roman"/>
          <w:sz w:val="32"/>
          <w:szCs w:val="32"/>
        </w:rPr>
      </w:pPr>
      <w:r>
        <w:rPr>
          <w:rFonts w:ascii="黑体" w:hAnsi="黑体" w:eastAsia="黑体" w:cs="Times New Roman"/>
          <w:sz w:val="32"/>
          <w:szCs w:val="32"/>
        </w:rPr>
        <w:t>十三、其他重要事项情况说明</w:t>
      </w:r>
    </w:p>
    <w:p w14:paraId="186FF5AA">
      <w:pPr>
        <w:adjustRightInd w:val="0"/>
        <w:snapToGrid w:val="0"/>
        <w:spacing w:line="600" w:lineRule="exact"/>
        <w:ind w:firstLine="643" w:firstLineChars="200"/>
        <w:rPr>
          <w:rFonts w:hint="eastAsia" w:eastAsia="仿宋_GB2312"/>
          <w:b/>
          <w:color w:val="FF0000"/>
          <w:sz w:val="32"/>
          <w:szCs w:val="32"/>
        </w:rPr>
      </w:pPr>
      <w:r>
        <w:rPr>
          <w:rFonts w:eastAsia="仿宋_GB2312"/>
          <w:b/>
          <w:sz w:val="32"/>
          <w:szCs w:val="32"/>
        </w:rPr>
        <w:t>（一）项目及绩效目标情况</w:t>
      </w:r>
    </w:p>
    <w:p w14:paraId="10E9B991">
      <w:pPr>
        <w:pStyle w:val="11"/>
        <w:ind w:firstLine="643"/>
        <w:rPr>
          <w:rFonts w:hint="eastAsia"/>
          <w:b/>
        </w:rPr>
      </w:pPr>
      <w:r>
        <w:rPr>
          <w:rFonts w:hint="eastAsia"/>
          <w:b/>
        </w:rPr>
        <w:t>1.“</w:t>
      </w:r>
      <w:r>
        <w:rPr>
          <w:rFonts w:hint="eastAsia"/>
          <w:b/>
          <w:lang w:val="en-US" w:eastAsia="zh-CN"/>
        </w:rPr>
        <w:t>文明创建经费</w:t>
      </w:r>
      <w:r>
        <w:rPr>
          <w:rFonts w:hint="eastAsia"/>
          <w:b/>
        </w:rPr>
        <w:t>”项目。</w:t>
      </w:r>
    </w:p>
    <w:p w14:paraId="15FA2BEC">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1</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项目概述。长陔乡</w:t>
      </w:r>
      <w:r>
        <w:rPr>
          <w:rFonts w:hint="eastAsia" w:ascii="Times New Roman" w:hAnsi="Times New Roman" w:eastAsia="仿宋_GB2312" w:cs="Times New Roman"/>
          <w:kern w:val="2"/>
          <w:sz w:val="32"/>
          <w:szCs w:val="32"/>
          <w:lang w:val="en-US" w:eastAsia="zh-CN" w:bidi="ar-SA"/>
        </w:rPr>
        <w:t>2026</w:t>
      </w:r>
      <w:r>
        <w:rPr>
          <w:rFonts w:hint="eastAsia" w:ascii="TimesNewRoman" w:hAnsi="TimesNewRoman" w:eastAsia="仿宋_GB2312" w:cs="TimesNewRoman"/>
          <w:kern w:val="2"/>
          <w:sz w:val="32"/>
          <w:szCs w:val="32"/>
          <w:lang w:val="en-US" w:eastAsia="zh-CN" w:bidi="ar-SA"/>
        </w:rPr>
        <w:t>年文明创建经费立足“生态可居、产业发展、生活富裕、乡风文明、村容整洁”的要求，巩固文明乡村的发展，聚焦乡村环境“脏乱差”问题，提升村容村貌，提高村民环境保护意识，推动乡村精神文明建设。</w:t>
      </w:r>
    </w:p>
    <w:p w14:paraId="19B37FC6">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2</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立项依据。根据财政体制列预算。</w:t>
      </w:r>
    </w:p>
    <w:p w14:paraId="1CC1C34E">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3</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实施主体。歙县长陔乡人民政府。</w:t>
      </w:r>
    </w:p>
    <w:p w14:paraId="16524FBE">
      <w:pPr>
        <w:adjustRightInd w:val="0"/>
        <w:snapToGrid w:val="0"/>
        <w:spacing w:line="580" w:lineRule="exact"/>
        <w:ind w:firstLine="640" w:firstLineChars="200"/>
        <w:rPr>
          <w:rFonts w:hint="default" w:ascii="Times New Roman" w:hAnsi="Times New Roman" w:eastAsia="仿宋_GB2312" w:cs="Times New Roman"/>
          <w:kern w:val="2"/>
          <w:sz w:val="32"/>
          <w:szCs w:val="32"/>
          <w:lang w:val="en-US" w:eastAsia="zh-CN" w:bidi="ar-SA"/>
        </w:rPr>
      </w:pPr>
      <w:r>
        <w:rPr>
          <w:rFonts w:hint="eastAsia" w:ascii="TimesNewRoman" w:hAnsi="TimesNewRoman" w:eastAsia="仿宋_GB2312" w:cs="TimesNewRoman"/>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4</w:t>
      </w:r>
      <w:r>
        <w:rPr>
          <w:rFonts w:hint="eastAsia" w:ascii="TimesNewRoman" w:hAnsi="TimesNewRoman" w:eastAsia="仿宋_GB2312" w:cs="TimesNewRoman"/>
          <w:kern w:val="2"/>
          <w:sz w:val="32"/>
          <w:szCs w:val="32"/>
          <w:lang w:val="en-US" w:eastAsia="zh-CN" w:bidi="ar-SA"/>
        </w:rPr>
        <w:t>）起止时间。</w:t>
      </w:r>
      <w:r>
        <w:rPr>
          <w:rFonts w:hint="eastAsia" w:ascii="Times New Roman" w:hAnsi="Times New Roman" w:eastAsia="仿宋_GB2312" w:cs="Times New Roman"/>
          <w:kern w:val="2"/>
          <w:sz w:val="32"/>
          <w:szCs w:val="32"/>
          <w:lang w:val="en-US" w:eastAsia="zh-CN" w:bidi="ar-SA"/>
        </w:rPr>
        <w:t>202</w:t>
      </w:r>
      <w:r>
        <w:rPr>
          <w:rFonts w:hint="eastAsia" w:eastAsia="仿宋_GB2312" w:cs="Times New Roman"/>
          <w:kern w:val="2"/>
          <w:sz w:val="32"/>
          <w:szCs w:val="32"/>
          <w:lang w:val="en-US" w:eastAsia="zh-CN" w:bidi="ar-SA"/>
        </w:rPr>
        <w:t>6</w:t>
      </w:r>
      <w:r>
        <w:rPr>
          <w:rFonts w:hint="eastAsia" w:ascii="Times New Roman" w:hAnsi="Times New Roman" w:eastAsia="仿宋_GB2312" w:cs="Times New Roman"/>
          <w:kern w:val="2"/>
          <w:sz w:val="32"/>
          <w:szCs w:val="32"/>
          <w:lang w:val="en-US" w:eastAsia="zh-CN" w:bidi="ar-SA"/>
        </w:rPr>
        <w:t>年1月1日—202</w:t>
      </w:r>
      <w:r>
        <w:rPr>
          <w:rFonts w:hint="eastAsia" w:eastAsia="仿宋_GB2312" w:cs="Times New Roman"/>
          <w:kern w:val="2"/>
          <w:sz w:val="32"/>
          <w:szCs w:val="32"/>
          <w:lang w:val="en-US" w:eastAsia="zh-CN" w:bidi="ar-SA"/>
        </w:rPr>
        <w:t>6</w:t>
      </w:r>
      <w:r>
        <w:rPr>
          <w:rFonts w:hint="eastAsia" w:ascii="Times New Roman" w:hAnsi="Times New Roman" w:eastAsia="仿宋_GB2312" w:cs="Times New Roman"/>
          <w:kern w:val="2"/>
          <w:sz w:val="32"/>
          <w:szCs w:val="32"/>
          <w:lang w:val="en-US" w:eastAsia="zh-CN" w:bidi="ar-SA"/>
        </w:rPr>
        <w:t>年12月31日</w:t>
      </w:r>
    </w:p>
    <w:p w14:paraId="354B29A0">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5</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项目内容。长陔乡以打造环境优美、生态宜居、乡风文明的美丽乡村为目标；对人居基础设施建设进行改善，加大文明宣传力度，开展志愿服务活动，常态化、长效化进行乡风文明培育。营造整洁有序、和谐友善、崇德向善的乡村生活环境。</w:t>
      </w:r>
    </w:p>
    <w:p w14:paraId="7CD0C129">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6</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年度预算安排。预算支出</w:t>
      </w:r>
      <w:r>
        <w:rPr>
          <w:rFonts w:hint="eastAsia" w:ascii="Times New Roman" w:hAnsi="Times New Roman" w:eastAsia="仿宋_GB2312" w:cs="Times New Roman"/>
          <w:b w:val="0"/>
          <w:bCs/>
          <w:kern w:val="2"/>
          <w:sz w:val="32"/>
          <w:szCs w:val="32"/>
          <w:lang w:val="en-US" w:eastAsia="zh-CN" w:bidi="ar-SA"/>
        </w:rPr>
        <w:t>8.94</w:t>
      </w:r>
      <w:r>
        <w:rPr>
          <w:rFonts w:hint="eastAsia" w:ascii="TimesNewRoman" w:hAnsi="TimesNewRoman" w:eastAsia="仿宋_GB2312" w:cs="TimesNewRoman"/>
          <w:kern w:val="2"/>
          <w:sz w:val="32"/>
          <w:szCs w:val="32"/>
          <w:lang w:val="en-US" w:eastAsia="zh-CN" w:bidi="ar-SA"/>
        </w:rPr>
        <w:t>万元。</w:t>
      </w:r>
    </w:p>
    <w:p w14:paraId="02307037">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w:t>
      </w:r>
      <w:r>
        <w:rPr>
          <w:rFonts w:hint="default" w:ascii="Times New Roman" w:hAnsi="Times New Roman" w:eastAsia="仿宋_GB2312" w:cs="Times New Roman"/>
          <w:b w:val="0"/>
          <w:bCs/>
          <w:kern w:val="2"/>
          <w:sz w:val="32"/>
          <w:szCs w:val="32"/>
          <w:lang w:val="en-US" w:eastAsia="zh-CN" w:bidi="ar-SA"/>
        </w:rPr>
        <w:t>7</w:t>
      </w:r>
      <w:r>
        <w:rPr>
          <w:rFonts w:hint="eastAsia" w:ascii="Times New Roman" w:hAnsi="Times New Roman" w:eastAsia="仿宋_GB2312" w:cs="Times New Roman"/>
          <w:b w:val="0"/>
          <w:bCs/>
          <w:kern w:val="2"/>
          <w:sz w:val="32"/>
          <w:szCs w:val="32"/>
          <w:lang w:val="en-US" w:eastAsia="zh-CN" w:bidi="ar-SA"/>
        </w:rPr>
        <w:t>）</w:t>
      </w:r>
      <w:r>
        <w:rPr>
          <w:rFonts w:hint="eastAsia" w:ascii="TimesNewRoman" w:hAnsi="TimesNewRoman" w:eastAsia="仿宋_GB2312" w:cs="TimesNewRoman"/>
          <w:kern w:val="2"/>
          <w:sz w:val="32"/>
          <w:szCs w:val="32"/>
          <w:lang w:val="en-US" w:eastAsia="zh-CN" w:bidi="ar-SA"/>
        </w:rPr>
        <w:t>绩效目标。</w:t>
      </w:r>
      <w:r>
        <w:rPr>
          <w:rFonts w:hint="eastAsia" w:ascii="Times New Roman" w:hAnsi="Times New Roman" w:eastAsia="仿宋_GB2312" w:cs="Times New Roman"/>
          <w:b w:val="0"/>
          <w:bCs/>
          <w:kern w:val="2"/>
          <w:sz w:val="32"/>
          <w:szCs w:val="32"/>
          <w:lang w:val="en-US" w:eastAsia="zh-CN" w:bidi="ar-SA"/>
        </w:rPr>
        <w:t>2026</w:t>
      </w:r>
      <w:r>
        <w:rPr>
          <w:rFonts w:hint="eastAsia" w:ascii="TimesNewRoman" w:hAnsi="TimesNewRoman" w:eastAsia="仿宋_GB2312" w:cs="TimesNewRoman"/>
          <w:kern w:val="2"/>
          <w:sz w:val="32"/>
          <w:szCs w:val="32"/>
          <w:lang w:val="en-US" w:eastAsia="zh-CN" w:bidi="ar-SA"/>
        </w:rPr>
        <w:t>年争取完成</w:t>
      </w:r>
      <w:r>
        <w:rPr>
          <w:rFonts w:hint="eastAsia" w:ascii="Times New Roman" w:hAnsi="Times New Roman" w:eastAsia="仿宋_GB2312" w:cs="Times New Roman"/>
          <w:b w:val="0"/>
          <w:bCs/>
          <w:kern w:val="2"/>
          <w:sz w:val="32"/>
          <w:szCs w:val="32"/>
          <w:lang w:val="en-US" w:eastAsia="zh-CN" w:bidi="ar-SA"/>
        </w:rPr>
        <w:t>3</w:t>
      </w:r>
      <w:r>
        <w:rPr>
          <w:rFonts w:hint="eastAsia" w:ascii="TimesNewRoman" w:hAnsi="TimesNewRoman" w:eastAsia="仿宋_GB2312" w:cs="TimesNewRoman"/>
          <w:kern w:val="2"/>
          <w:sz w:val="32"/>
          <w:szCs w:val="32"/>
          <w:lang w:val="en-US" w:eastAsia="zh-CN" w:bidi="ar-SA"/>
        </w:rPr>
        <w:t>次文明宣讲活动，让“精神文明”传播千万家，提升民风易俗影响力；各村开展新时代文明实践活动，满足群众文明创建需求；进行全域环境整治，改善当地区域环境以及河道卫生，聘请专人进行整治，在一定程度上带动当地就业，促进居民增收；弘扬文明新风，提高良好家风、淳朴民风建设，让群众获得幸福感、满足感。在资金使用上，严格按照财政资金管理要求，及时拨付、支出合规。</w:t>
      </w:r>
    </w:p>
    <w:p w14:paraId="6D2FC53C">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38A073DD">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7869BE46">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36BD7BE2">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37C0CEDE">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73B9E92A">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29CB7516">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2B1E2BE1">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055713CF">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6FFB553C">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57BAF062">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4F9E8C4C">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3AAEFB0D">
      <w:pPr>
        <w:adjustRightInd w:val="0"/>
        <w:snapToGrid w:val="0"/>
        <w:spacing w:line="580" w:lineRule="exact"/>
        <w:ind w:firstLine="420" w:firstLineChars="200"/>
        <w:rPr>
          <w:rFonts w:hint="eastAsia" w:ascii="宋体" w:hAnsi="宋体" w:eastAsia="宋体" w:cs="宋体"/>
          <w:kern w:val="2"/>
          <w:sz w:val="21"/>
          <w:szCs w:val="21"/>
          <w:lang w:val="en-US" w:eastAsia="zh-CN" w:bidi="ar-SA"/>
        </w:rPr>
      </w:pPr>
    </w:p>
    <w:p w14:paraId="0DFC5927">
      <w:pPr>
        <w:pStyle w:val="11"/>
        <w:ind w:left="0" w:leftChars="0" w:firstLine="0" w:firstLineChars="0"/>
        <w:rPr>
          <w:rFonts w:hint="eastAsia" w:ascii="宋体" w:hAnsi="宋体" w:eastAsia="宋体" w:cs="宋体"/>
          <w:b/>
          <w:sz w:val="21"/>
          <w:szCs w:val="21"/>
        </w:rPr>
        <w:sectPr>
          <w:type w:val="continuous"/>
          <w:pgSz w:w="11906" w:h="16838"/>
          <w:pgMar w:top="1440" w:right="1800" w:bottom="1440" w:left="1800" w:header="851" w:footer="992" w:gutter="0"/>
          <w:cols w:space="425" w:num="1"/>
          <w:docGrid w:type="lines" w:linePitch="312" w:charSpace="0"/>
        </w:sectPr>
      </w:pPr>
    </w:p>
    <w:p w14:paraId="1D51ADD2">
      <w:pPr>
        <w:pStyle w:val="11"/>
        <w:spacing w:before="13419" w:beforeLines="4301" w:beforeAutospacing="0" w:after="0" w:afterAutospacing="0"/>
        <w:ind w:left="0" w:leftChars="0" w:firstLine="0" w:firstLineChars="0"/>
        <w:rPr>
          <w:rFonts w:hint="eastAsia" w:ascii="宋体" w:hAnsi="宋体" w:eastAsia="宋体" w:cs="宋体"/>
          <w:b/>
          <w:sz w:val="21"/>
          <w:szCs w:val="21"/>
        </w:rPr>
        <w:sectPr>
          <w:pgSz w:w="11906" w:h="16838"/>
          <w:pgMar w:top="1440" w:right="1800" w:bottom="1440" w:left="1800" w:header="851" w:footer="992" w:gutter="0"/>
          <w:cols w:space="425" w:num="1"/>
          <w:docGrid w:type="lines" w:linePitch="312" w:charSpace="0"/>
        </w:sectPr>
      </w:pPr>
      <w:r>
        <w:object>
          <v:shape id="_x0000_i1042" o:spt="75" type="#_x0000_t75" style="height:664.55pt;width:414.8pt;" o:ole="t" filled="f" o:preferrelative="t" stroked="f" coordsize="21600,21600">
            <v:path/>
            <v:fill on="f" focussize="0,0"/>
            <v:stroke on="f"/>
            <v:imagedata r:id="rId39" o:title=""/>
            <o:lock v:ext="edit" aspectratio="f"/>
            <w10:wrap type="none"/>
            <w10:anchorlock/>
          </v:shape>
          <o:OLEObject Type="Embed" ProgID="Excel.Sheet.12" ShapeID="_x0000_i1042" DrawAspect="Content" ObjectID="_1468075742" r:id="rId38">
            <o:LockedField>false</o:LockedField>
          </o:OLEObject>
        </w:object>
      </w:r>
    </w:p>
    <w:p w14:paraId="707995B9">
      <w:pPr>
        <w:pStyle w:val="11"/>
        <w:keepNext w:val="0"/>
        <w:keepLines w:val="0"/>
        <w:pageBreakBefore w:val="0"/>
        <w:widowControl/>
        <w:kinsoku/>
        <w:wordWrap/>
        <w:overflowPunct/>
        <w:topLinePunct w:val="0"/>
        <w:autoSpaceDE/>
        <w:autoSpaceDN/>
        <w:bidi w:val="0"/>
        <w:adjustRightInd/>
        <w:snapToGrid/>
        <w:ind w:left="0" w:leftChars="0" w:firstLine="643" w:firstLineChars="200"/>
        <w:textAlignment w:val="auto"/>
        <w:rPr>
          <w:rFonts w:hint="default"/>
          <w:b/>
        </w:rPr>
      </w:pPr>
      <w:r>
        <w:rPr>
          <w:rFonts w:hint="default"/>
          <w:b/>
        </w:rPr>
        <w:t>2.“</w:t>
      </w:r>
      <w:r>
        <w:rPr>
          <w:rFonts w:hint="eastAsia"/>
          <w:b/>
          <w:lang w:val="en-US" w:eastAsia="zh-CN"/>
        </w:rPr>
        <w:t>征兵经费</w:t>
      </w:r>
      <w:r>
        <w:rPr>
          <w:rFonts w:hint="default"/>
          <w:b/>
        </w:rPr>
        <w:t>”项目。</w:t>
      </w:r>
    </w:p>
    <w:p w14:paraId="32A9DDDD">
      <w:pPr>
        <w:pStyle w:val="11"/>
        <w:ind w:firstLine="643"/>
        <w:rPr>
          <w:rFonts w:hint="default" w:eastAsia="仿宋_GB2312"/>
          <w:b w:val="0"/>
          <w:bCs/>
          <w:lang w:val="en-US" w:eastAsia="zh-CN"/>
        </w:rPr>
      </w:pPr>
      <w:r>
        <w:rPr>
          <w:rFonts w:hint="default"/>
          <w:b w:val="0"/>
          <w:bCs/>
        </w:rPr>
        <w:t>（1）项目概述。</w:t>
      </w:r>
      <w:r>
        <w:rPr>
          <w:rFonts w:hint="eastAsia"/>
          <w:b w:val="0"/>
          <w:bCs/>
          <w:lang w:val="en-US" w:eastAsia="zh-CN"/>
        </w:rPr>
        <w:t>长陔乡2026年征兵经费项目运用“青春献国防，热血报家国”等宣传标语动员本乡有志青年，激励其积极参与2026年度征兵活动，营造崇军尚武氛围，夯实基层兵役工作基础，提升兵员质量，为国家国防力量输送年轻血液。</w:t>
      </w:r>
    </w:p>
    <w:p w14:paraId="4DBD29A9">
      <w:pPr>
        <w:adjustRightInd w:val="0"/>
        <w:snapToGrid w:val="0"/>
        <w:spacing w:line="580" w:lineRule="exact"/>
        <w:ind w:firstLine="640" w:firstLineChars="200"/>
        <w:rPr>
          <w:rFonts w:hint="default" w:ascii="TimesNewRoman" w:hAnsi="TimesNewRoman" w:eastAsia="仿宋_GB2312" w:cs="TimesNewRoman"/>
          <w:kern w:val="2"/>
          <w:sz w:val="32"/>
          <w:szCs w:val="32"/>
          <w:lang w:val="en-US" w:eastAsia="zh-CN" w:bidi="ar-SA"/>
        </w:rPr>
      </w:pPr>
      <w:r>
        <w:rPr>
          <w:rFonts w:hint="default" w:ascii="Times New Roman" w:hAnsi="Times New Roman" w:eastAsia="仿宋_GB2312" w:cs="Times New Roman"/>
          <w:b w:val="0"/>
          <w:bCs/>
          <w:kern w:val="2"/>
          <w:sz w:val="32"/>
          <w:szCs w:val="32"/>
          <w:lang w:val="en-US" w:eastAsia="zh-CN" w:bidi="ar-SA"/>
        </w:rPr>
        <w:t>（2）</w:t>
      </w:r>
      <w:r>
        <w:rPr>
          <w:rFonts w:hint="default" w:ascii="TimesNewRoman" w:hAnsi="TimesNewRoman" w:eastAsia="仿宋_GB2312" w:cs="TimesNewRoman"/>
          <w:kern w:val="2"/>
          <w:sz w:val="32"/>
          <w:szCs w:val="32"/>
          <w:lang w:val="en-US" w:eastAsia="zh-CN" w:bidi="ar-SA"/>
        </w:rPr>
        <w:t>立项依据。</w:t>
      </w:r>
      <w:r>
        <w:rPr>
          <w:rFonts w:hint="eastAsia" w:ascii="TimesNewRoman" w:hAnsi="TimesNewRoman" w:eastAsia="仿宋_GB2312" w:cs="TimesNewRoman"/>
          <w:kern w:val="2"/>
          <w:sz w:val="32"/>
          <w:szCs w:val="32"/>
          <w:lang w:val="en-US" w:eastAsia="zh-CN" w:bidi="ar-SA"/>
        </w:rPr>
        <w:t>根据财政体制列预算。</w:t>
      </w:r>
    </w:p>
    <w:p w14:paraId="0D40B54F">
      <w:pPr>
        <w:pStyle w:val="11"/>
        <w:ind w:firstLine="643"/>
        <w:rPr>
          <w:rFonts w:hint="default" w:eastAsia="仿宋_GB2312"/>
          <w:b w:val="0"/>
          <w:bCs/>
          <w:lang w:val="en-US" w:eastAsia="zh-CN"/>
        </w:rPr>
      </w:pPr>
      <w:r>
        <w:rPr>
          <w:rFonts w:hint="default"/>
          <w:b w:val="0"/>
          <w:bCs/>
        </w:rPr>
        <w:t>（3）实施主体。</w:t>
      </w:r>
      <w:r>
        <w:rPr>
          <w:rFonts w:hint="eastAsia"/>
          <w:b w:val="0"/>
          <w:bCs/>
          <w:lang w:val="en-US" w:eastAsia="zh-CN"/>
        </w:rPr>
        <w:t>歙县长陔乡人民政府。</w:t>
      </w:r>
    </w:p>
    <w:p w14:paraId="6F6B70FB">
      <w:pPr>
        <w:pStyle w:val="11"/>
        <w:ind w:firstLine="643"/>
        <w:rPr>
          <w:rFonts w:hint="default" w:eastAsia="仿宋_GB2312"/>
          <w:b w:val="0"/>
          <w:bCs/>
          <w:lang w:val="en-US" w:eastAsia="zh-CN"/>
        </w:rPr>
      </w:pPr>
      <w:r>
        <w:rPr>
          <w:rFonts w:hint="default"/>
          <w:b w:val="0"/>
          <w:bCs/>
        </w:rPr>
        <w:t>（4）起止时间。</w:t>
      </w:r>
      <w:r>
        <w:rPr>
          <w:rFonts w:hint="eastAsia"/>
          <w:b w:val="0"/>
          <w:bCs/>
          <w:lang w:val="en-US" w:eastAsia="zh-CN"/>
        </w:rPr>
        <w:t>2026年1月1日—2026年12月31日。</w:t>
      </w:r>
    </w:p>
    <w:p w14:paraId="2B7030BB">
      <w:pPr>
        <w:pStyle w:val="11"/>
        <w:ind w:firstLine="643"/>
        <w:rPr>
          <w:rFonts w:hint="default" w:eastAsia="仿宋_GB2312"/>
          <w:b w:val="0"/>
          <w:bCs/>
          <w:lang w:val="en-US" w:eastAsia="zh-CN"/>
        </w:rPr>
      </w:pPr>
      <w:r>
        <w:rPr>
          <w:rFonts w:hint="default"/>
          <w:b w:val="0"/>
          <w:bCs/>
        </w:rPr>
        <w:t>（5）项目内容。</w:t>
      </w:r>
      <w:r>
        <w:rPr>
          <w:rFonts w:hint="eastAsia"/>
          <w:b w:val="0"/>
          <w:bCs/>
          <w:lang w:val="en-US" w:eastAsia="zh-CN"/>
        </w:rPr>
        <w:t>在为期一年两次的征兵任务活动中，我乡依据《征兵工作条例》以及省、市、县征兵要求，承担兵役人员摸排、宣传发动、预备人员初检初审、政治审核、新兵欢送与输送等基础职责工作，规范项目运行，提升基层征兵活动质量与服务效率和水平。</w:t>
      </w:r>
    </w:p>
    <w:p w14:paraId="00E64658">
      <w:pPr>
        <w:pStyle w:val="11"/>
        <w:ind w:firstLine="643"/>
        <w:rPr>
          <w:rFonts w:hint="default" w:eastAsia="仿宋_GB2312"/>
          <w:b w:val="0"/>
          <w:bCs/>
          <w:lang w:val="en-US" w:eastAsia="zh-CN"/>
        </w:rPr>
      </w:pPr>
      <w:r>
        <w:rPr>
          <w:rFonts w:hint="default"/>
          <w:b w:val="0"/>
          <w:bCs/>
        </w:rPr>
        <w:t>（6）年度预算安排。</w:t>
      </w:r>
      <w:r>
        <w:rPr>
          <w:rFonts w:hint="eastAsia"/>
          <w:b w:val="0"/>
          <w:bCs/>
          <w:lang w:val="en-US" w:eastAsia="zh-CN"/>
        </w:rPr>
        <w:t>预算支出1.18万元。</w:t>
      </w:r>
    </w:p>
    <w:p w14:paraId="72CCF6AE">
      <w:pPr>
        <w:pStyle w:val="11"/>
        <w:ind w:firstLine="643"/>
        <w:rPr>
          <w:rFonts w:hint="default" w:eastAsia="仿宋_GB2312"/>
          <w:b w:val="0"/>
          <w:bCs/>
          <w:lang w:val="en-US" w:eastAsia="zh-CN"/>
        </w:rPr>
      </w:pPr>
      <w:r>
        <w:rPr>
          <w:rFonts w:hint="default"/>
          <w:b w:val="0"/>
          <w:bCs/>
        </w:rPr>
        <w:t>（7）绩效目标。</w:t>
      </w:r>
      <w:r>
        <w:rPr>
          <w:rFonts w:hint="eastAsia"/>
          <w:b w:val="0"/>
          <w:bCs/>
          <w:lang w:val="en-US" w:eastAsia="zh-CN"/>
        </w:rPr>
        <w:t>长陔乡争取2026年完成征兵双及格4人，完成一次39人左右的民兵训练，强化基层民兵素养；提高国防教育覆盖率达95%，同时优化兵员结构，高质量兵源输送到位，提升新兵以及家属的满意度；经费支出用于征兵过程中所需的宣传横幅、兵员体检费、餐费、住宿费用等，严格按照资金制度规范支出。</w:t>
      </w:r>
    </w:p>
    <w:p w14:paraId="639C0F40">
      <w:pPr>
        <w:keepNext w:val="0"/>
        <w:keepLines w:val="0"/>
        <w:pageBreakBefore w:val="0"/>
        <w:kinsoku/>
        <w:overflowPunct/>
        <w:topLinePunct w:val="0"/>
        <w:autoSpaceDE/>
        <w:autoSpaceDN/>
        <w:bidi w:val="0"/>
        <w:adjustRightInd w:val="0"/>
        <w:snapToGrid w:val="0"/>
        <w:spacing w:line="560" w:lineRule="exact"/>
        <w:ind w:firstLine="630" w:firstLineChars="300"/>
        <w:rPr>
          <w:rFonts w:hint="eastAsia" w:ascii="宋体" w:hAnsi="宋体" w:eastAsia="宋体" w:cs="宋体"/>
          <w:sz w:val="21"/>
          <w:szCs w:val="21"/>
        </w:rPr>
      </w:pPr>
    </w:p>
    <w:p w14:paraId="166FCA02">
      <w:pPr>
        <w:keepNext w:val="0"/>
        <w:keepLines w:val="0"/>
        <w:pageBreakBefore w:val="0"/>
        <w:kinsoku/>
        <w:overflowPunct/>
        <w:topLinePunct w:val="0"/>
        <w:autoSpaceDE/>
        <w:autoSpaceDN/>
        <w:bidi w:val="0"/>
        <w:adjustRightInd w:val="0"/>
        <w:snapToGrid w:val="0"/>
        <w:spacing w:line="560" w:lineRule="exact"/>
        <w:ind w:firstLine="630" w:firstLineChars="300"/>
        <w:rPr>
          <w:rFonts w:hint="eastAsia" w:ascii="宋体" w:hAnsi="宋体" w:eastAsia="宋体" w:cs="宋体"/>
          <w:sz w:val="21"/>
          <w:szCs w:val="21"/>
        </w:rPr>
      </w:pPr>
    </w:p>
    <w:p w14:paraId="38036C55">
      <w:pPr>
        <w:keepNext w:val="0"/>
        <w:keepLines w:val="0"/>
        <w:pageBreakBefore w:val="0"/>
        <w:kinsoku/>
        <w:overflowPunct/>
        <w:topLinePunct w:val="0"/>
        <w:autoSpaceDE/>
        <w:autoSpaceDN/>
        <w:bidi w:val="0"/>
        <w:adjustRightInd w:val="0"/>
        <w:snapToGrid w:val="0"/>
        <w:spacing w:beforeAutospacing="0" w:afterAutospacing="0" w:line="240" w:lineRule="auto"/>
        <w:rPr>
          <w:rFonts w:hint="eastAsia" w:ascii="宋体" w:hAnsi="宋体" w:eastAsia="宋体" w:cs="宋体"/>
          <w:sz w:val="21"/>
          <w:szCs w:val="21"/>
        </w:rPr>
      </w:pPr>
      <w:r>
        <w:rPr>
          <w:rFonts w:hint="eastAsia" w:ascii="宋体" w:hAnsi="宋体" w:eastAsia="宋体" w:cs="宋体"/>
          <w:sz w:val="21"/>
          <w:szCs w:val="21"/>
        </w:rPr>
        <w:object>
          <v:shape id="_x0000_i1043" o:spt="75" type="#_x0000_t75" style="height:614.35pt;width:414.85pt;" o:ole="t" filled="f" o:preferrelative="t" stroked="f" coordsize="21600,21600">
            <v:path/>
            <v:fill on="f" focussize="0,0"/>
            <v:stroke on="f"/>
            <v:imagedata r:id="rId41" o:title=""/>
            <o:lock v:ext="edit" aspectratio="f"/>
            <w10:wrap type="none"/>
            <w10:anchorlock/>
          </v:shape>
          <o:OLEObject Type="Embed" ProgID="Excel.Sheet.12" ShapeID="_x0000_i1043" DrawAspect="Content" ObjectID="_1468075743" r:id="rId40">
            <o:LockedField>false</o:LockedField>
          </o:OLEObject>
        </w:object>
      </w:r>
    </w:p>
    <w:p w14:paraId="54A94FAC">
      <w:pPr>
        <w:keepNext w:val="0"/>
        <w:keepLines w:val="0"/>
        <w:pageBreakBefore w:val="0"/>
        <w:kinsoku/>
        <w:overflowPunct/>
        <w:topLinePunct w:val="0"/>
        <w:autoSpaceDE/>
        <w:autoSpaceDN/>
        <w:bidi w:val="0"/>
        <w:adjustRightInd w:val="0"/>
        <w:snapToGrid w:val="0"/>
        <w:spacing w:line="560" w:lineRule="exact"/>
        <w:rPr>
          <w:rFonts w:hint="eastAsia" w:ascii="宋体" w:hAnsi="宋体" w:eastAsia="宋体" w:cs="宋体"/>
          <w:sz w:val="21"/>
          <w:szCs w:val="21"/>
        </w:rPr>
      </w:pPr>
    </w:p>
    <w:p w14:paraId="6762E7CA">
      <w:pPr>
        <w:keepNext w:val="0"/>
        <w:keepLines w:val="0"/>
        <w:pageBreakBefore w:val="0"/>
        <w:kinsoku/>
        <w:overflowPunct/>
        <w:topLinePunct w:val="0"/>
        <w:autoSpaceDE/>
        <w:autoSpaceDN/>
        <w:bidi w:val="0"/>
        <w:adjustRightInd w:val="0"/>
        <w:snapToGrid w:val="0"/>
        <w:spacing w:line="560" w:lineRule="exact"/>
        <w:rPr>
          <w:rFonts w:hint="eastAsia" w:ascii="宋体" w:hAnsi="宋体" w:eastAsia="宋体" w:cs="宋体"/>
          <w:sz w:val="21"/>
          <w:szCs w:val="21"/>
        </w:rPr>
      </w:pPr>
    </w:p>
    <w:p w14:paraId="471F3F5C">
      <w:pPr>
        <w:adjustRightInd w:val="0"/>
        <w:snapToGrid w:val="0"/>
        <w:spacing w:line="600" w:lineRule="exact"/>
        <w:ind w:firstLine="643" w:firstLineChars="200"/>
        <w:rPr>
          <w:rFonts w:eastAsia="仿宋_GB2312"/>
          <w:b/>
          <w:sz w:val="32"/>
          <w:szCs w:val="32"/>
        </w:rPr>
      </w:pPr>
      <w:r>
        <w:rPr>
          <w:rFonts w:eastAsia="仿宋_GB2312"/>
          <w:b/>
          <w:sz w:val="32"/>
          <w:szCs w:val="32"/>
        </w:rPr>
        <w:t>（二）机关运行经费</w:t>
      </w:r>
    </w:p>
    <w:p w14:paraId="1164153E">
      <w:pPr>
        <w:pStyle w:val="11"/>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color w:val="FF0000"/>
          <w:sz w:val="30"/>
          <w:szCs w:val="30"/>
        </w:rPr>
      </w:pPr>
      <w:r>
        <w:rPr>
          <w:rFonts w:hint="eastAsia"/>
          <w:lang w:val="en" w:eastAsia="zh-CN"/>
        </w:rPr>
        <w:t>2026年</w:t>
      </w:r>
      <w:r>
        <w:rPr>
          <w:rFonts w:hint="eastAsia"/>
          <w:lang w:val="en-US" w:eastAsia="zh-CN"/>
        </w:rPr>
        <w:t>歙县长陔乡人民政府</w:t>
      </w:r>
      <w:r>
        <w:t>本级1家行政单位的机关运行经费</w:t>
      </w:r>
      <w:r>
        <w:rPr>
          <w:rFonts w:hint="eastAsia"/>
          <w:lang w:val="en-US" w:eastAsia="zh-CN"/>
        </w:rPr>
        <w:t>财政</w:t>
      </w:r>
      <w:r>
        <w:t>拨款预算</w:t>
      </w:r>
      <w:r>
        <w:rPr>
          <w:rFonts w:hint="eastAsia" w:ascii="仿宋" w:hAnsi="仿宋" w:eastAsia="仿宋"/>
          <w:lang w:val="en-US" w:eastAsia="zh-CN"/>
        </w:rPr>
        <w:t>50.91</w:t>
      </w:r>
      <w:r>
        <w:t>万元，比</w:t>
      </w:r>
      <w:r>
        <w:rPr>
          <w:rFonts w:hint="eastAsia"/>
          <w:lang w:val="en" w:eastAsia="zh-CN"/>
        </w:rPr>
        <w:t>2025年</w:t>
      </w:r>
      <w:r>
        <w:t>减少</w:t>
      </w:r>
      <w:r>
        <w:rPr>
          <w:rFonts w:hint="eastAsia"/>
          <w:lang w:val="en-US" w:eastAsia="zh-CN"/>
        </w:rPr>
        <w:t>4.63</w:t>
      </w:r>
      <w:r>
        <w:t>万元，下降</w:t>
      </w:r>
      <w:r>
        <w:rPr>
          <w:rFonts w:hint="eastAsia"/>
          <w:lang w:val="en-US" w:eastAsia="zh-CN"/>
        </w:rPr>
        <w:t>8.34</w:t>
      </w:r>
      <w:r>
        <w:t>%，下降主要原因是严格执行各项财经制度，厉行节约，减少办公用电</w:t>
      </w:r>
      <w:r>
        <w:rPr>
          <w:rFonts w:hint="eastAsia"/>
          <w:lang w:eastAsia="zh-CN"/>
        </w:rPr>
        <w:t>、</w:t>
      </w:r>
      <w:r>
        <w:rPr>
          <w:rFonts w:hint="eastAsia"/>
          <w:lang w:val="en-US" w:eastAsia="zh-CN"/>
        </w:rPr>
        <w:t>邮电费</w:t>
      </w:r>
      <w:r>
        <w:t>、日常运转办公费等日常运行支出</w:t>
      </w:r>
      <w:r>
        <w:rPr>
          <w:rFonts w:hint="eastAsia"/>
          <w:lang w:eastAsia="zh-CN"/>
        </w:rPr>
        <w:t>。</w:t>
      </w:r>
    </w:p>
    <w:p w14:paraId="09B832CC">
      <w:pPr>
        <w:adjustRightInd w:val="0"/>
        <w:snapToGrid w:val="0"/>
        <w:spacing w:line="600" w:lineRule="exact"/>
        <w:ind w:firstLine="643" w:firstLineChars="200"/>
        <w:rPr>
          <w:rFonts w:eastAsia="仿宋_GB2312"/>
          <w:b/>
          <w:sz w:val="32"/>
          <w:szCs w:val="32"/>
        </w:rPr>
      </w:pPr>
      <w:r>
        <w:rPr>
          <w:rFonts w:eastAsia="仿宋_GB2312"/>
          <w:b/>
          <w:sz w:val="32"/>
          <w:szCs w:val="32"/>
        </w:rPr>
        <w:t>（三）政府采购情况</w:t>
      </w:r>
    </w:p>
    <w:p w14:paraId="4BA14B7B">
      <w:pPr>
        <w:pStyle w:val="11"/>
        <w:rPr>
          <w:rFonts w:hint="eastAsia"/>
        </w:rPr>
      </w:pPr>
      <w:r>
        <w:rPr>
          <w:rFonts w:hint="eastAsia"/>
          <w:kern w:val="0"/>
          <w:lang w:eastAsia="zh-CN"/>
        </w:rPr>
        <w:t>歙县</w:t>
      </w:r>
      <w:r>
        <w:rPr>
          <w:rFonts w:hint="eastAsia"/>
          <w:kern w:val="0"/>
          <w:lang w:val="en-US" w:eastAsia="zh-CN"/>
        </w:rPr>
        <w:t>长陔乡人民政府</w:t>
      </w:r>
      <w:r>
        <w:rPr>
          <w:rFonts w:hint="eastAsia"/>
          <w:kern w:val="0"/>
          <w:lang w:val="en" w:eastAsia="zh-CN"/>
        </w:rPr>
        <w:t>2026年</w:t>
      </w:r>
      <w:r>
        <w:rPr>
          <w:rFonts w:hint="eastAsia"/>
        </w:rPr>
        <w:t>（各）单位政府采购预算总额</w:t>
      </w:r>
      <w:r>
        <w:rPr>
          <w:rFonts w:hint="eastAsia"/>
          <w:lang w:val="en-US" w:eastAsia="zh-CN"/>
        </w:rPr>
        <w:t>0.93</w:t>
      </w:r>
      <w:r>
        <w:rPr>
          <w:rFonts w:hint="eastAsia"/>
        </w:rPr>
        <w:t>万元。其中：政府采购货物预算</w:t>
      </w:r>
      <w:r>
        <w:rPr>
          <w:rFonts w:hint="eastAsia"/>
          <w:lang w:val="en-US" w:eastAsia="zh-CN"/>
        </w:rPr>
        <w:t>0.93</w:t>
      </w:r>
      <w:r>
        <w:rPr>
          <w:rFonts w:hint="eastAsia"/>
        </w:rPr>
        <w:t>万元，政府采购工程预算</w:t>
      </w:r>
      <w:r>
        <w:rPr>
          <w:rFonts w:hint="eastAsia"/>
          <w:lang w:val="en-US" w:eastAsia="zh-CN"/>
        </w:rPr>
        <w:t>0.00</w:t>
      </w:r>
      <w:r>
        <w:rPr>
          <w:rFonts w:hint="eastAsia"/>
        </w:rPr>
        <w:t>万元，政府采购服务预算</w:t>
      </w:r>
      <w:r>
        <w:rPr>
          <w:rFonts w:hint="eastAsia"/>
          <w:lang w:val="en-US" w:eastAsia="zh-CN"/>
        </w:rPr>
        <w:t>0.00</w:t>
      </w:r>
      <w:r>
        <w:rPr>
          <w:rFonts w:hint="eastAsia"/>
        </w:rPr>
        <w:t>万元。</w:t>
      </w:r>
    </w:p>
    <w:p w14:paraId="766DCDB8">
      <w:pPr>
        <w:adjustRightInd w:val="0"/>
        <w:snapToGrid w:val="0"/>
        <w:spacing w:line="600" w:lineRule="exact"/>
        <w:ind w:firstLine="643" w:firstLineChars="200"/>
        <w:rPr>
          <w:rFonts w:eastAsia="仿宋_GB2312"/>
          <w:b/>
          <w:sz w:val="32"/>
          <w:szCs w:val="32"/>
        </w:rPr>
      </w:pPr>
      <w:r>
        <w:rPr>
          <w:rFonts w:eastAsia="仿宋_GB2312"/>
          <w:b/>
          <w:sz w:val="32"/>
          <w:szCs w:val="32"/>
        </w:rPr>
        <w:t>（四）国有资产占有使用情况</w:t>
      </w:r>
    </w:p>
    <w:p w14:paraId="371BE2AC">
      <w:pPr>
        <w:pStyle w:val="11"/>
        <w:rPr>
          <w:highlight w:val="none"/>
        </w:rPr>
      </w:pPr>
      <w:r>
        <w:t>截至</w:t>
      </w:r>
      <w:r>
        <w:rPr>
          <w:rFonts w:hint="eastAsia"/>
          <w:lang w:val="en" w:eastAsia="zh-CN"/>
        </w:rPr>
        <w:t>2025年</w:t>
      </w:r>
      <w:r>
        <w:t>12月31日，</w:t>
      </w:r>
      <w:r>
        <w:rPr>
          <w:rFonts w:hint="eastAsia"/>
          <w:lang w:eastAsia="zh-CN"/>
        </w:rPr>
        <w:t>歙县</w:t>
      </w:r>
      <w:r>
        <w:rPr>
          <w:rFonts w:hint="eastAsia"/>
          <w:lang w:val="en-US" w:eastAsia="zh-CN"/>
        </w:rPr>
        <w:t>长陔乡人民政府</w:t>
      </w:r>
      <w:r>
        <w:t>固定资产总金额</w:t>
      </w:r>
      <w:r>
        <w:rPr>
          <w:rFonts w:hint="eastAsia"/>
          <w:lang w:val="en-US" w:eastAsia="zh-CN"/>
        </w:rPr>
        <w:t>423.85</w:t>
      </w:r>
      <w:r>
        <w:t>万元，较上年增加</w:t>
      </w:r>
      <w:r>
        <w:rPr>
          <w:rFonts w:hint="eastAsia"/>
          <w:lang w:val="en-US" w:eastAsia="zh-CN"/>
        </w:rPr>
        <w:t>2.12</w:t>
      </w:r>
      <w:r>
        <w:rPr>
          <w:highlight w:val="none"/>
        </w:rPr>
        <w:t>万元，其中</w:t>
      </w:r>
      <w:r>
        <w:rPr>
          <w:rFonts w:hint="eastAsia"/>
          <w:highlight w:val="none"/>
          <w:lang w:eastAsia="zh-CN"/>
        </w:rPr>
        <w:t>：</w:t>
      </w:r>
      <w:r>
        <w:rPr>
          <w:highlight w:val="none"/>
        </w:rPr>
        <w:t>土地、房屋及构筑物</w:t>
      </w:r>
      <w:r>
        <w:rPr>
          <w:rFonts w:hint="eastAsia"/>
          <w:highlight w:val="none"/>
          <w:lang w:val="en-US" w:eastAsia="zh-CN"/>
        </w:rPr>
        <w:t>347.44</w:t>
      </w:r>
      <w:r>
        <w:rPr>
          <w:highlight w:val="none"/>
        </w:rPr>
        <w:t>万元、通用设备</w:t>
      </w:r>
      <w:r>
        <w:rPr>
          <w:rFonts w:hint="eastAsia"/>
          <w:highlight w:val="none"/>
          <w:lang w:val="en-US" w:eastAsia="zh-CN"/>
        </w:rPr>
        <w:t>65.39</w:t>
      </w:r>
      <w:r>
        <w:rPr>
          <w:highlight w:val="none"/>
        </w:rPr>
        <w:t>万元、专用设备</w:t>
      </w:r>
      <w:r>
        <w:rPr>
          <w:rFonts w:hint="eastAsia"/>
          <w:highlight w:val="none"/>
          <w:lang w:val="en-US" w:eastAsia="zh-CN"/>
        </w:rPr>
        <w:t>0.00</w:t>
      </w:r>
      <w:r>
        <w:rPr>
          <w:highlight w:val="none"/>
        </w:rPr>
        <w:t>万元、</w:t>
      </w:r>
      <w:r>
        <w:rPr>
          <w:rFonts w:hint="eastAsia"/>
          <w:highlight w:val="none"/>
          <w:lang w:val="en-US" w:eastAsia="zh-CN"/>
        </w:rPr>
        <w:t>家具及用具11.02</w:t>
      </w:r>
      <w:r>
        <w:rPr>
          <w:highlight w:val="none"/>
        </w:rPr>
        <w:t>万元。</w:t>
      </w:r>
    </w:p>
    <w:p w14:paraId="2C1CE8BA">
      <w:pPr>
        <w:pStyle w:val="11"/>
        <w:rPr>
          <w:highlight w:val="none"/>
        </w:rPr>
      </w:pPr>
      <w:r>
        <w:rPr>
          <w:highlight w:val="none"/>
        </w:rPr>
        <w:t>未车改事业单位车辆</w:t>
      </w:r>
      <w:r>
        <w:rPr>
          <w:rFonts w:hint="eastAsia"/>
          <w:highlight w:val="none"/>
          <w:lang w:val="en-US" w:eastAsia="zh-CN"/>
        </w:rPr>
        <w:t>0</w:t>
      </w:r>
      <w:r>
        <w:rPr>
          <w:highlight w:val="none"/>
        </w:rPr>
        <w:t>辆，其中</w:t>
      </w:r>
      <w:r>
        <w:rPr>
          <w:rFonts w:hint="eastAsia"/>
          <w:highlight w:val="none"/>
          <w:lang w:eastAsia="zh-CN"/>
        </w:rPr>
        <w:t>：</w:t>
      </w:r>
      <w:r>
        <w:rPr>
          <w:highlight w:val="none"/>
        </w:rPr>
        <w:t>一般公务用车</w:t>
      </w:r>
      <w:r>
        <w:rPr>
          <w:rFonts w:hint="eastAsia"/>
          <w:highlight w:val="none"/>
          <w:lang w:val="en-US" w:eastAsia="zh-CN"/>
        </w:rPr>
        <w:t>0</w:t>
      </w:r>
      <w:r>
        <w:rPr>
          <w:highlight w:val="none"/>
        </w:rPr>
        <w:t>辆。</w:t>
      </w:r>
    </w:p>
    <w:p w14:paraId="597BE6A1">
      <w:pPr>
        <w:pStyle w:val="11"/>
        <w:rPr>
          <w:rFonts w:hint="eastAsia"/>
          <w:highlight w:val="none"/>
        </w:rPr>
      </w:pPr>
      <w:r>
        <w:rPr>
          <w:highlight w:val="none"/>
        </w:rPr>
        <w:t>其中：厅级领导干部用车</w:t>
      </w:r>
      <w:r>
        <w:rPr>
          <w:rFonts w:hint="eastAsia"/>
          <w:highlight w:val="none"/>
          <w:lang w:val="en-US" w:eastAsia="zh-CN"/>
        </w:rPr>
        <w:t>0</w:t>
      </w:r>
      <w:r>
        <w:rPr>
          <w:highlight w:val="none"/>
        </w:rPr>
        <w:t>辆、</w:t>
      </w:r>
      <w:r>
        <w:rPr>
          <w:rFonts w:hint="eastAsia"/>
          <w:highlight w:val="none"/>
        </w:rPr>
        <w:t>一般公务用车</w:t>
      </w:r>
      <w:r>
        <w:rPr>
          <w:rFonts w:hint="eastAsia"/>
          <w:highlight w:val="none"/>
          <w:lang w:val="en-US" w:eastAsia="zh-CN"/>
        </w:rPr>
        <w:t>0</w:t>
      </w:r>
      <w:r>
        <w:rPr>
          <w:rFonts w:hint="eastAsia"/>
          <w:highlight w:val="none"/>
        </w:rPr>
        <w:t>辆、执法执勤用车</w:t>
      </w:r>
      <w:r>
        <w:rPr>
          <w:rFonts w:hint="eastAsia"/>
          <w:highlight w:val="none"/>
          <w:lang w:val="en-US" w:eastAsia="zh-CN"/>
        </w:rPr>
        <w:t>0</w:t>
      </w:r>
      <w:r>
        <w:rPr>
          <w:rFonts w:hint="eastAsia"/>
          <w:highlight w:val="none"/>
        </w:rPr>
        <w:t>辆、特种专业技术用车</w:t>
      </w:r>
      <w:r>
        <w:rPr>
          <w:rFonts w:hint="eastAsia"/>
          <w:highlight w:val="none"/>
          <w:lang w:val="en-US" w:eastAsia="zh-CN"/>
        </w:rPr>
        <w:t>0</w:t>
      </w:r>
      <w:r>
        <w:rPr>
          <w:rFonts w:hint="eastAsia"/>
          <w:highlight w:val="none"/>
        </w:rPr>
        <w:t>辆、其他用车</w:t>
      </w:r>
      <w:r>
        <w:rPr>
          <w:rFonts w:hint="eastAsia"/>
          <w:highlight w:val="none"/>
          <w:lang w:val="en-US" w:eastAsia="zh-CN"/>
        </w:rPr>
        <w:t>0</w:t>
      </w:r>
      <w:r>
        <w:rPr>
          <w:rFonts w:hint="eastAsia"/>
          <w:highlight w:val="none"/>
        </w:rPr>
        <w:t>辆。</w:t>
      </w:r>
    </w:p>
    <w:p w14:paraId="498BCD08">
      <w:pPr>
        <w:pStyle w:val="11"/>
      </w:pPr>
      <w:r>
        <w:rPr>
          <w:highlight w:val="none"/>
        </w:rPr>
        <w:t>截至</w:t>
      </w:r>
      <w:r>
        <w:rPr>
          <w:rFonts w:hint="eastAsia"/>
          <w:highlight w:val="none"/>
          <w:lang w:val="en" w:eastAsia="zh-CN"/>
        </w:rPr>
        <w:t>2025年</w:t>
      </w:r>
      <w:r>
        <w:rPr>
          <w:highlight w:val="none"/>
        </w:rPr>
        <w:t>12月31日，</w:t>
      </w:r>
      <w:r>
        <w:rPr>
          <w:rFonts w:hint="eastAsia"/>
          <w:highlight w:val="none"/>
        </w:rPr>
        <w:t>单位价值50万元以</w:t>
      </w:r>
      <w:r>
        <w:rPr>
          <w:rFonts w:hint="eastAsia"/>
        </w:rPr>
        <w:t>上的通用设备</w:t>
      </w:r>
      <w:r>
        <w:rPr>
          <w:rFonts w:hint="eastAsia"/>
          <w:lang w:val="en-US" w:eastAsia="zh-CN"/>
        </w:rPr>
        <w:t>0</w:t>
      </w:r>
      <w:r>
        <w:rPr>
          <w:rFonts w:hint="eastAsia"/>
        </w:rPr>
        <w:t>台（套），单位价值100万元以上的专用设备</w:t>
      </w:r>
      <w:r>
        <w:rPr>
          <w:rFonts w:hint="eastAsia"/>
          <w:lang w:val="en-US" w:eastAsia="zh-CN"/>
        </w:rPr>
        <w:t>0</w:t>
      </w:r>
      <w:r>
        <w:rPr>
          <w:rFonts w:hint="eastAsia"/>
        </w:rPr>
        <w:t>台（套）。</w:t>
      </w:r>
    </w:p>
    <w:p w14:paraId="4EB1060C">
      <w:pPr>
        <w:pStyle w:val="11"/>
      </w:pPr>
      <w:r>
        <w:rPr>
          <w:rFonts w:hint="eastAsia"/>
          <w:lang w:val="en" w:eastAsia="zh-CN"/>
        </w:rPr>
        <w:t>2026年</w:t>
      </w:r>
      <w:r>
        <w:t>部门预算安排购置车辆0辆，购置费0万元</w:t>
      </w:r>
      <w:r>
        <w:rPr>
          <w:highlight w:val="none"/>
        </w:rPr>
        <w:t>。其中：一般公务用</w:t>
      </w:r>
      <w:r>
        <w:t>车</w:t>
      </w:r>
      <w:r>
        <w:rPr>
          <w:rFonts w:hint="eastAsia"/>
          <w:lang w:val="en-US" w:eastAsia="zh-CN"/>
        </w:rPr>
        <w:t>0</w:t>
      </w:r>
      <w:r>
        <w:t>辆、执法执勤用车</w:t>
      </w:r>
      <w:r>
        <w:rPr>
          <w:rFonts w:hint="eastAsia"/>
          <w:lang w:val="en-US" w:eastAsia="zh-CN"/>
        </w:rPr>
        <w:t>0</w:t>
      </w:r>
      <w:r>
        <w:t>辆、特种专业技术用车</w:t>
      </w:r>
      <w:r>
        <w:rPr>
          <w:rFonts w:hint="eastAsia"/>
          <w:lang w:val="en-US" w:eastAsia="zh-CN"/>
        </w:rPr>
        <w:t>0</w:t>
      </w:r>
      <w:r>
        <w:t>辆、其他用车</w:t>
      </w:r>
      <w:r>
        <w:rPr>
          <w:rFonts w:hint="eastAsia"/>
          <w:lang w:val="en-US" w:eastAsia="zh-CN"/>
        </w:rPr>
        <w:t>0</w:t>
      </w:r>
      <w:r>
        <w:t>辆</w:t>
      </w:r>
      <w:r>
        <w:rPr>
          <w:rFonts w:hint="eastAsia"/>
        </w:rPr>
        <w:t>。</w:t>
      </w:r>
    </w:p>
    <w:p w14:paraId="59F746FF">
      <w:pPr>
        <w:pStyle w:val="11"/>
        <w:rPr>
          <w:rFonts w:hint="eastAsia" w:ascii="仿宋" w:hAnsi="仿宋" w:eastAsia="仿宋"/>
        </w:rPr>
      </w:pPr>
      <w:r>
        <w:rPr>
          <w:rFonts w:hint="eastAsia"/>
          <w:lang w:val="en" w:eastAsia="zh-CN"/>
        </w:rPr>
        <w:t>2026年</w:t>
      </w:r>
      <w:r>
        <w:t>部门预算</w:t>
      </w:r>
      <w:r>
        <w:rPr>
          <w:rFonts w:hint="eastAsia"/>
        </w:rPr>
        <w:t>安排购置单位价值50万元以上的通用设备</w:t>
      </w:r>
      <w:r>
        <w:rPr>
          <w:rFonts w:hint="eastAsia"/>
          <w:lang w:val="en-US" w:eastAsia="zh-CN"/>
        </w:rPr>
        <w:t>0</w:t>
      </w:r>
      <w:r>
        <w:rPr>
          <w:rFonts w:hint="eastAsia"/>
        </w:rPr>
        <w:t>台（套），购置费</w:t>
      </w:r>
      <w:r>
        <w:rPr>
          <w:rFonts w:hint="eastAsia"/>
          <w:lang w:val="en-US" w:eastAsia="zh-CN"/>
        </w:rPr>
        <w:t>0.00</w:t>
      </w:r>
      <w:r>
        <w:rPr>
          <w:rFonts w:hint="eastAsia"/>
        </w:rPr>
        <w:t>万元；安排购置单位价值100万元以上专用设备</w:t>
      </w:r>
      <w:r>
        <w:rPr>
          <w:rFonts w:hint="eastAsia"/>
          <w:lang w:val="en-US" w:eastAsia="zh-CN"/>
        </w:rPr>
        <w:t>0</w:t>
      </w:r>
      <w:r>
        <w:rPr>
          <w:rFonts w:hint="eastAsia"/>
        </w:rPr>
        <w:t>台（套），购置费</w:t>
      </w:r>
      <w:r>
        <w:rPr>
          <w:rFonts w:hint="eastAsia"/>
          <w:lang w:val="en-US" w:eastAsia="zh-CN"/>
        </w:rPr>
        <w:t>0.00</w:t>
      </w:r>
      <w:r>
        <w:rPr>
          <w:rFonts w:hint="eastAsia"/>
        </w:rPr>
        <w:t>万元。</w:t>
      </w:r>
    </w:p>
    <w:p w14:paraId="1FBDA9AE">
      <w:pPr>
        <w:keepNext w:val="0"/>
        <w:keepLines w:val="0"/>
        <w:pageBreakBefore w:val="0"/>
        <w:widowControl w:val="0"/>
        <w:kinsoku/>
        <w:overflowPunct/>
        <w:topLinePunct w:val="0"/>
        <w:autoSpaceDE/>
        <w:autoSpaceDN/>
        <w:bidi w:val="0"/>
        <w:adjustRightInd w:val="0"/>
        <w:snapToGrid w:val="0"/>
        <w:spacing w:line="560" w:lineRule="exact"/>
        <w:ind w:firstLine="643" w:firstLineChars="200"/>
        <w:jc w:val="both"/>
        <w:rPr>
          <w:rFonts w:hint="default" w:eastAsia="仿宋_GB2312"/>
          <w:b/>
          <w:kern w:val="2"/>
          <w:sz w:val="32"/>
          <w:szCs w:val="32"/>
          <w:lang w:val="en-US" w:eastAsia="zh-CN" w:bidi="ar-SA"/>
        </w:rPr>
      </w:pPr>
      <w:r>
        <w:rPr>
          <w:rFonts w:hint="eastAsia" w:eastAsia="仿宋_GB2312"/>
          <w:b/>
          <w:kern w:val="2"/>
          <w:sz w:val="32"/>
          <w:szCs w:val="32"/>
          <w:lang w:val="en" w:eastAsia="zh-CN" w:bidi="ar-SA"/>
        </w:rPr>
        <w:t>（五）</w:t>
      </w:r>
      <w:r>
        <w:rPr>
          <w:rFonts w:hint="default" w:eastAsia="仿宋_GB2312"/>
          <w:b/>
          <w:kern w:val="2"/>
          <w:sz w:val="32"/>
          <w:szCs w:val="32"/>
          <w:lang w:val="en" w:eastAsia="zh-CN" w:bidi="ar-SA"/>
        </w:rPr>
        <w:t>通用资产配置</w:t>
      </w:r>
      <w:r>
        <w:rPr>
          <w:rFonts w:hint="eastAsia" w:eastAsia="仿宋_GB2312"/>
          <w:b/>
          <w:kern w:val="2"/>
          <w:sz w:val="32"/>
          <w:szCs w:val="32"/>
          <w:lang w:val="en" w:eastAsia="zh-CN" w:bidi="ar-SA"/>
        </w:rPr>
        <w:t>情况</w:t>
      </w:r>
    </w:p>
    <w:p w14:paraId="5769E80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outlineLvl w:val="0"/>
        <w:rPr>
          <w:rFonts w:hint="eastAsia" w:ascii="仿宋_GB2312"/>
          <w:color w:val="FF0000"/>
          <w:sz w:val="30"/>
          <w:szCs w:val="30"/>
        </w:rPr>
      </w:pPr>
      <w:r>
        <w:rPr>
          <w:rFonts w:hint="eastAsia" w:ascii="TimesNewRoman" w:hAnsi="TimesNewRoman" w:eastAsia="仿宋_GB2312" w:cs="TimesNewRoman"/>
          <w:kern w:val="2"/>
          <w:sz w:val="32"/>
          <w:szCs w:val="32"/>
          <w:lang w:val="en-US" w:eastAsia="zh-CN" w:bidi="ar-SA"/>
        </w:rPr>
        <w:t>歙县长陔乡人民政府</w:t>
      </w:r>
      <w:r>
        <w:rPr>
          <w:rFonts w:hint="eastAsia" w:ascii="Times New Roman" w:hAnsi="Times New Roman" w:eastAsia="仿宋_GB2312" w:cs="Times New Roman"/>
          <w:kern w:val="2"/>
          <w:sz w:val="32"/>
          <w:szCs w:val="32"/>
          <w:lang w:val="en" w:eastAsia="zh-CN" w:bidi="ar-SA"/>
        </w:rPr>
        <w:t>2026</w:t>
      </w:r>
      <w:r>
        <w:rPr>
          <w:rFonts w:hint="eastAsia" w:ascii="TimesNewRoman" w:hAnsi="TimesNewRoman" w:eastAsia="仿宋_GB2312" w:cs="TimesNewRoman"/>
          <w:kern w:val="2"/>
          <w:sz w:val="32"/>
          <w:szCs w:val="32"/>
          <w:lang w:val="en" w:eastAsia="zh-CN" w:bidi="ar-SA"/>
        </w:rPr>
        <w:t>年</w:t>
      </w:r>
      <w:r>
        <w:rPr>
          <w:rFonts w:hint="default" w:ascii="TimesNewRoman" w:hAnsi="TimesNewRoman" w:eastAsia="仿宋_GB2312" w:cs="TimesNewRoman"/>
          <w:kern w:val="2"/>
          <w:sz w:val="32"/>
          <w:szCs w:val="32"/>
          <w:lang w:val="en-US" w:eastAsia="zh-CN" w:bidi="ar-SA"/>
        </w:rPr>
        <w:t>预算安排通用资产配置支出</w:t>
      </w:r>
      <w:r>
        <w:rPr>
          <w:rFonts w:hint="eastAsia" w:ascii="Times New Roman" w:hAnsi="Times New Roman" w:eastAsia="仿宋_GB2312" w:cs="Times New Roman"/>
          <w:kern w:val="2"/>
          <w:sz w:val="32"/>
          <w:szCs w:val="32"/>
          <w:lang w:val="en-US" w:eastAsia="zh-CN" w:bidi="ar-SA"/>
        </w:rPr>
        <w:t>0.93</w:t>
      </w:r>
      <w:r>
        <w:rPr>
          <w:rFonts w:hint="default" w:ascii="TimesNewRoman" w:hAnsi="TimesNewRoman" w:eastAsia="仿宋_GB2312" w:cs="TimesNewRoman"/>
          <w:kern w:val="2"/>
          <w:sz w:val="32"/>
          <w:szCs w:val="32"/>
          <w:lang w:val="en-US" w:eastAsia="zh-CN" w:bidi="ar-SA"/>
        </w:rPr>
        <w:t>万元，比</w:t>
      </w:r>
      <w:r>
        <w:rPr>
          <w:rFonts w:hint="eastAsia" w:ascii="Times New Roman" w:hAnsi="Times New Roman" w:eastAsia="仿宋_GB2312" w:cs="Times New Roman"/>
          <w:kern w:val="2"/>
          <w:sz w:val="32"/>
          <w:szCs w:val="32"/>
          <w:lang w:val="en-US" w:eastAsia="zh-CN" w:bidi="ar-SA"/>
        </w:rPr>
        <w:t>2025</w:t>
      </w:r>
      <w:r>
        <w:rPr>
          <w:rFonts w:hint="eastAsia" w:ascii="TimesNewRoman" w:hAnsi="TimesNewRoman" w:eastAsia="仿宋_GB2312" w:cs="TimesNewRoman"/>
          <w:kern w:val="2"/>
          <w:sz w:val="32"/>
          <w:szCs w:val="32"/>
          <w:lang w:val="en-US" w:eastAsia="zh-CN" w:bidi="ar-SA"/>
        </w:rPr>
        <w:t>年</w:t>
      </w:r>
      <w:r>
        <w:rPr>
          <w:rFonts w:hint="default" w:ascii="TimesNewRoman" w:hAnsi="TimesNewRoman" w:eastAsia="仿宋_GB2312" w:cs="TimesNewRoman"/>
          <w:kern w:val="2"/>
          <w:sz w:val="32"/>
          <w:szCs w:val="32"/>
          <w:lang w:val="en-US" w:eastAsia="zh-CN" w:bidi="ar-SA"/>
        </w:rPr>
        <w:t>预算减少</w:t>
      </w:r>
      <w:r>
        <w:rPr>
          <w:rFonts w:hint="eastAsia" w:ascii="Times New Roman" w:hAnsi="Times New Roman" w:eastAsia="仿宋_GB2312" w:cs="Times New Roman"/>
          <w:kern w:val="2"/>
          <w:sz w:val="32"/>
          <w:szCs w:val="32"/>
          <w:lang w:val="en-US" w:eastAsia="zh-CN" w:bidi="ar-SA"/>
        </w:rPr>
        <w:t>1.97</w:t>
      </w:r>
      <w:r>
        <w:rPr>
          <w:rFonts w:hint="default" w:ascii="TimesNewRoman" w:hAnsi="TimesNewRoman" w:eastAsia="仿宋_GB2312" w:cs="TimesNewRoman"/>
          <w:kern w:val="2"/>
          <w:sz w:val="32"/>
          <w:szCs w:val="32"/>
          <w:lang w:val="en-US" w:eastAsia="zh-CN" w:bidi="ar-SA"/>
        </w:rPr>
        <w:t>万元，下降</w:t>
      </w:r>
      <w:r>
        <w:rPr>
          <w:rFonts w:hint="eastAsia" w:ascii="Times New Roman" w:hAnsi="Times New Roman" w:eastAsia="仿宋_GB2312" w:cs="Times New Roman"/>
          <w:kern w:val="2"/>
          <w:sz w:val="32"/>
          <w:szCs w:val="32"/>
          <w:lang w:val="en-US" w:eastAsia="zh-CN" w:bidi="ar-SA"/>
        </w:rPr>
        <w:t>67.93</w:t>
      </w:r>
      <w:r>
        <w:rPr>
          <w:rFonts w:hint="default" w:ascii="Times New Roman" w:hAnsi="Times New Roman" w:eastAsia="仿宋_GB2312" w:cs="Times New Roman"/>
          <w:kern w:val="2"/>
          <w:sz w:val="32"/>
          <w:szCs w:val="32"/>
          <w:lang w:val="en-US" w:eastAsia="zh-CN" w:bidi="ar-SA"/>
        </w:rPr>
        <w:t>%</w:t>
      </w:r>
      <w:r>
        <w:rPr>
          <w:rFonts w:hint="default" w:ascii="TimesNewRoman" w:hAnsi="TimesNewRoman" w:eastAsia="仿宋_GB2312" w:cs="TimesNewRoman"/>
          <w:kern w:val="2"/>
          <w:sz w:val="32"/>
          <w:szCs w:val="32"/>
          <w:lang w:val="en-US" w:eastAsia="zh-CN" w:bidi="ar-SA"/>
        </w:rPr>
        <w:t>，下降原因主要是</w:t>
      </w:r>
      <w:r>
        <w:rPr>
          <w:rFonts w:hint="eastAsia" w:ascii="TimesNewRoman" w:hAnsi="TimesNewRoman" w:eastAsia="仿宋_GB2312" w:cs="TimesNewRoman"/>
          <w:kern w:val="2"/>
          <w:sz w:val="32"/>
          <w:szCs w:val="32"/>
          <w:lang w:val="en-US" w:eastAsia="zh-CN" w:bidi="ar-SA"/>
        </w:rPr>
        <w:t>主要是电脑设备由上级部门统一配备，无需采购，采购复印机便于业务办公正常开展，空调设备采购用于公用办公室</w:t>
      </w:r>
      <w:r>
        <w:rPr>
          <w:rFonts w:hint="default" w:ascii="TimesNewRoman" w:hAnsi="TimesNewRoman" w:eastAsia="仿宋_GB2312" w:cs="TimesNewRoman"/>
          <w:kern w:val="2"/>
          <w:sz w:val="32"/>
          <w:szCs w:val="32"/>
          <w:lang w:val="en-US" w:eastAsia="zh-CN" w:bidi="ar-SA"/>
        </w:rPr>
        <w:t>。</w:t>
      </w:r>
    </w:p>
    <w:p w14:paraId="383F8E20">
      <w:pPr>
        <w:adjustRightInd w:val="0"/>
        <w:snapToGrid w:val="0"/>
        <w:spacing w:line="600" w:lineRule="exact"/>
        <w:ind w:firstLine="643" w:firstLineChars="200"/>
        <w:rPr>
          <w:rFonts w:hint="eastAsia" w:eastAsia="仿宋_GB2312"/>
          <w:b/>
          <w:sz w:val="32"/>
          <w:szCs w:val="32"/>
        </w:rPr>
      </w:pPr>
      <w:r>
        <w:rPr>
          <w:rFonts w:hint="eastAsia" w:ascii="仿宋_GB2312" w:hAnsi="楷体" w:eastAsia="仿宋_GB2312"/>
          <w:b/>
          <w:sz w:val="32"/>
          <w:szCs w:val="32"/>
          <w:highlight w:val="none"/>
        </w:rPr>
        <w:t>（</w:t>
      </w:r>
      <w:r>
        <w:rPr>
          <w:rFonts w:hint="eastAsia" w:ascii="仿宋_GB2312" w:hAnsi="楷体" w:eastAsia="仿宋_GB2312"/>
          <w:b/>
          <w:sz w:val="32"/>
          <w:szCs w:val="32"/>
          <w:highlight w:val="none"/>
          <w:lang w:eastAsia="zh-CN"/>
        </w:rPr>
        <w:t>六</w:t>
      </w:r>
      <w:r>
        <w:rPr>
          <w:rFonts w:hint="eastAsia" w:ascii="仿宋_GB2312" w:hAnsi="楷体" w:eastAsia="仿宋_GB2312"/>
          <w:b/>
          <w:sz w:val="32"/>
          <w:szCs w:val="32"/>
          <w:highlight w:val="none"/>
        </w:rPr>
        <w:t>）</w:t>
      </w:r>
      <w:r>
        <w:rPr>
          <w:rFonts w:eastAsia="仿宋_GB2312"/>
          <w:b/>
          <w:sz w:val="32"/>
          <w:szCs w:val="32"/>
          <w:highlight w:val="none"/>
        </w:rPr>
        <w:t>绩效目标设</w:t>
      </w:r>
      <w:r>
        <w:rPr>
          <w:rFonts w:eastAsia="仿宋_GB2312"/>
          <w:b/>
          <w:sz w:val="32"/>
          <w:szCs w:val="32"/>
        </w:rPr>
        <w:t>置情况</w:t>
      </w:r>
    </w:p>
    <w:p w14:paraId="5F96A45C">
      <w:pPr>
        <w:pStyle w:val="11"/>
        <w:rPr>
          <w:b/>
          <w:color w:val="FF0000"/>
        </w:rPr>
      </w:pPr>
      <w:r>
        <w:rPr>
          <w:rFonts w:hint="eastAsia"/>
          <w:lang w:eastAsia="zh-CN"/>
        </w:rPr>
        <w:t>歙县</w:t>
      </w:r>
      <w:r>
        <w:rPr>
          <w:rFonts w:hint="eastAsia"/>
          <w:lang w:val="en-US" w:eastAsia="zh-CN"/>
        </w:rPr>
        <w:t>长陔乡人民政府</w:t>
      </w:r>
      <w:r>
        <w:rPr>
          <w:rFonts w:hint="eastAsia"/>
          <w:lang w:val="en" w:eastAsia="zh-CN"/>
        </w:rPr>
        <w:t>2026年</w:t>
      </w:r>
      <w:r>
        <w:rPr>
          <w:rFonts w:hint="eastAsia"/>
          <w:lang w:val="en-US" w:eastAsia="zh-CN"/>
        </w:rPr>
        <w:t>8</w:t>
      </w:r>
      <w:r>
        <w:rPr>
          <w:rFonts w:hint="eastAsia"/>
        </w:rPr>
        <w:t>个项目实行了绩效目标管理，涉及一般公共预算当年财政拨款</w:t>
      </w:r>
      <w:r>
        <w:rPr>
          <w:rFonts w:hint="eastAsia"/>
          <w:lang w:val="en-US" w:eastAsia="zh-CN"/>
        </w:rPr>
        <w:t>176.99</w:t>
      </w:r>
      <w:r>
        <w:rPr>
          <w:rFonts w:hint="eastAsia"/>
        </w:rPr>
        <w:t>万元，政府性基金预算</w:t>
      </w:r>
      <w:r>
        <w:rPr>
          <w:rFonts w:hint="eastAsia"/>
          <w:highlight w:val="none"/>
        </w:rPr>
        <w:t>当年财政拨款</w:t>
      </w:r>
      <w:r>
        <w:rPr>
          <w:rFonts w:hint="eastAsia"/>
          <w:highlight w:val="none"/>
          <w:lang w:val="en-US" w:eastAsia="zh-CN"/>
        </w:rPr>
        <w:t>0.00</w:t>
      </w:r>
      <w:r>
        <w:rPr>
          <w:rFonts w:hint="eastAsia"/>
          <w:highlight w:val="none"/>
        </w:rPr>
        <w:t>万元、财政专户管理资金当年安排</w:t>
      </w:r>
      <w:r>
        <w:rPr>
          <w:rFonts w:hint="eastAsia"/>
          <w:highlight w:val="none"/>
          <w:lang w:val="en-US" w:eastAsia="zh-CN"/>
        </w:rPr>
        <w:t>0.00</w:t>
      </w:r>
      <w:r>
        <w:rPr>
          <w:rFonts w:hint="eastAsia"/>
          <w:highlight w:val="none"/>
        </w:rPr>
        <w:t>万元和单位资金安排</w:t>
      </w:r>
      <w:r>
        <w:rPr>
          <w:rFonts w:hint="eastAsia"/>
          <w:highlight w:val="none"/>
          <w:lang w:val="en-US" w:eastAsia="zh-CN"/>
        </w:rPr>
        <w:t>0.00</w:t>
      </w:r>
      <w:r>
        <w:rPr>
          <w:rFonts w:hint="eastAsia"/>
          <w:highlight w:val="none"/>
        </w:rPr>
        <w:t>万元</w:t>
      </w:r>
      <w:r>
        <w:rPr>
          <w:rFonts w:hint="eastAsia"/>
        </w:rPr>
        <w:t>。</w:t>
      </w:r>
    </w:p>
    <w:p w14:paraId="5F03C89E">
      <w:pPr>
        <w:adjustRightInd w:val="0"/>
        <w:snapToGrid w:val="0"/>
        <w:spacing w:line="600" w:lineRule="exact"/>
        <w:jc w:val="both"/>
        <w:rPr>
          <w:rFonts w:eastAsia="黑体"/>
          <w:sz w:val="36"/>
          <w:szCs w:val="36"/>
        </w:rPr>
      </w:pPr>
    </w:p>
    <w:p w14:paraId="1E5A11EE">
      <w:pPr>
        <w:adjustRightInd w:val="0"/>
        <w:snapToGrid w:val="0"/>
        <w:spacing w:line="600" w:lineRule="exact"/>
        <w:jc w:val="center"/>
        <w:rPr>
          <w:rFonts w:eastAsia="黑体"/>
          <w:sz w:val="36"/>
          <w:szCs w:val="36"/>
        </w:rPr>
      </w:pPr>
      <w:r>
        <w:rPr>
          <w:rFonts w:eastAsia="黑体"/>
          <w:sz w:val="36"/>
          <w:szCs w:val="36"/>
        </w:rPr>
        <w:br w:type="page"/>
      </w:r>
      <w:r>
        <w:rPr>
          <w:rFonts w:eastAsia="黑体"/>
          <w:sz w:val="36"/>
          <w:szCs w:val="36"/>
        </w:rPr>
        <w:t>第四部分 名词解释</w:t>
      </w:r>
    </w:p>
    <w:p w14:paraId="152A24EA">
      <w:pPr>
        <w:adjustRightInd w:val="0"/>
        <w:snapToGrid w:val="0"/>
        <w:spacing w:line="600" w:lineRule="exact"/>
        <w:jc w:val="center"/>
        <w:rPr>
          <w:rFonts w:eastAsia="黑体"/>
          <w:sz w:val="32"/>
          <w:szCs w:val="32"/>
        </w:rPr>
      </w:pPr>
    </w:p>
    <w:p w14:paraId="0C3BA941">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pPr>
      <w:r>
        <w:rPr>
          <w:rFonts w:eastAsia="黑体"/>
          <w:sz w:val="32"/>
          <w:szCs w:val="32"/>
        </w:rPr>
        <w:t>一、</w:t>
      </w:r>
      <w:r>
        <w:rPr>
          <w:rFonts w:hint="eastAsia" w:eastAsia="黑体"/>
          <w:sz w:val="32"/>
          <w:szCs w:val="32"/>
        </w:rPr>
        <w:t>财政</w:t>
      </w:r>
      <w:r>
        <w:rPr>
          <w:rFonts w:eastAsia="黑体"/>
          <w:sz w:val="32"/>
          <w:szCs w:val="32"/>
        </w:rPr>
        <w:t>拨款收入</w:t>
      </w:r>
      <w:r>
        <w:rPr>
          <w:rFonts w:eastAsia="仿宋_GB2312"/>
          <w:b/>
          <w:sz w:val="32"/>
          <w:szCs w:val="32"/>
        </w:rPr>
        <w:t>：</w:t>
      </w:r>
      <w:r>
        <w:rPr>
          <w:rFonts w:eastAsia="仿宋_GB2312"/>
          <w:sz w:val="32"/>
          <w:szCs w:val="32"/>
        </w:rPr>
        <w:t>指</w:t>
      </w:r>
      <w:r>
        <w:rPr>
          <w:rFonts w:hint="eastAsia" w:eastAsia="仿宋_GB2312"/>
          <w:sz w:val="32"/>
          <w:szCs w:val="32"/>
          <w:lang w:eastAsia="zh-CN"/>
        </w:rPr>
        <w:t>县</w:t>
      </w:r>
      <w:r>
        <w:rPr>
          <w:rFonts w:hint="eastAsia" w:eastAsia="仿宋_GB2312"/>
          <w:sz w:val="32"/>
          <w:szCs w:val="32"/>
        </w:rPr>
        <w:t>财政</w:t>
      </w:r>
      <w:r>
        <w:rPr>
          <w:rFonts w:eastAsia="仿宋_GB2312"/>
          <w:sz w:val="32"/>
          <w:szCs w:val="32"/>
        </w:rPr>
        <w:t>当年拨付的资金，主要包括一般公共预算拨款收入、政府性基金预算拨款收入、国有资本经营预算拨款收入。</w:t>
      </w:r>
    </w:p>
    <w:p w14:paraId="0237A46B">
      <w:pPr>
        <w:pStyle w:val="6"/>
        <w:keepNext w:val="0"/>
        <w:keepLines w:val="0"/>
        <w:pageBreakBefore w:val="0"/>
        <w:kinsoku/>
        <w:wordWrap/>
        <w:overflowPunct/>
        <w:topLinePunct w:val="0"/>
        <w:autoSpaceDE/>
        <w:autoSpaceDN/>
        <w:bidi w:val="0"/>
        <w:adjustRightInd w:val="0"/>
        <w:snapToGrid w:val="0"/>
        <w:spacing w:before="0" w:beforeAutospacing="0" w:after="0" w:afterAutospacing="0" w:line="600" w:lineRule="exact"/>
        <w:ind w:firstLine="627" w:firstLineChars="196"/>
        <w:textAlignment w:val="auto"/>
        <w:rPr>
          <w:rFonts w:ascii="Times New Roman" w:hAnsi="Times New Roman" w:eastAsia="仿宋_GB2312" w:cs="Times New Roman"/>
          <w:kern w:val="2"/>
          <w:sz w:val="32"/>
          <w:szCs w:val="32"/>
        </w:rPr>
      </w:pPr>
      <w:r>
        <w:rPr>
          <w:rFonts w:ascii="Times New Roman" w:hAnsi="Times New Roman" w:eastAsia="黑体" w:cs="Times New Roman"/>
          <w:sz w:val="32"/>
          <w:szCs w:val="32"/>
        </w:rPr>
        <w:t>二、</w:t>
      </w:r>
      <w:r>
        <w:rPr>
          <w:rFonts w:hint="eastAsia" w:ascii="Times New Roman" w:hAnsi="Times New Roman" w:eastAsia="黑体" w:cs="Times New Roman"/>
          <w:sz w:val="32"/>
          <w:szCs w:val="32"/>
        </w:rPr>
        <w:t>财政</w:t>
      </w:r>
      <w:r>
        <w:rPr>
          <w:rFonts w:ascii="Times New Roman" w:hAnsi="Times New Roman" w:eastAsia="黑体" w:cs="Times New Roman"/>
          <w:sz w:val="32"/>
          <w:szCs w:val="32"/>
        </w:rPr>
        <w:t>专户管理非税收入：</w:t>
      </w:r>
      <w:r>
        <w:rPr>
          <w:rFonts w:ascii="Times New Roman" w:hAnsi="Times New Roman" w:eastAsia="仿宋_GB2312" w:cs="Times New Roman"/>
          <w:kern w:val="2"/>
          <w:sz w:val="32"/>
          <w:szCs w:val="32"/>
        </w:rPr>
        <w:t>指按照非税收入管理相关规定，纳入</w:t>
      </w:r>
      <w:r>
        <w:rPr>
          <w:rFonts w:hint="eastAsia" w:ascii="Times New Roman" w:hAnsi="Times New Roman" w:eastAsia="仿宋_GB2312" w:cs="Times New Roman"/>
          <w:kern w:val="2"/>
          <w:sz w:val="32"/>
          <w:szCs w:val="32"/>
        </w:rPr>
        <w:t>财政</w:t>
      </w:r>
      <w:r>
        <w:rPr>
          <w:rFonts w:ascii="Times New Roman" w:hAnsi="Times New Roman" w:eastAsia="仿宋_GB2312" w:cs="Times New Roman"/>
          <w:kern w:val="2"/>
          <w:sz w:val="32"/>
          <w:szCs w:val="32"/>
        </w:rPr>
        <w:t>专户管理的教育收费等。</w:t>
      </w:r>
    </w:p>
    <w:p w14:paraId="5703164C">
      <w:pPr>
        <w:pStyle w:val="6"/>
        <w:keepNext w:val="0"/>
        <w:keepLines w:val="0"/>
        <w:pageBreakBefore w:val="0"/>
        <w:kinsoku/>
        <w:wordWrap/>
        <w:overflowPunct/>
        <w:topLinePunct w:val="0"/>
        <w:autoSpaceDE/>
        <w:autoSpaceDN/>
        <w:bidi w:val="0"/>
        <w:adjustRightInd w:val="0"/>
        <w:snapToGrid w:val="0"/>
        <w:spacing w:before="0" w:beforeAutospacing="0" w:after="0" w:afterAutospacing="0" w:line="600" w:lineRule="exact"/>
        <w:ind w:firstLine="627" w:firstLineChars="196"/>
        <w:textAlignment w:val="auto"/>
        <w:rPr>
          <w:rFonts w:ascii="Times New Roman" w:hAnsi="Times New Roman" w:eastAsia="仿宋_GB2312" w:cs="Times New Roman"/>
          <w:kern w:val="2"/>
          <w:sz w:val="32"/>
          <w:szCs w:val="32"/>
        </w:rPr>
      </w:pPr>
      <w:r>
        <w:rPr>
          <w:rFonts w:ascii="Times New Roman" w:hAnsi="Times New Roman" w:eastAsia="黑体" w:cs="Times New Roman"/>
          <w:sz w:val="32"/>
          <w:szCs w:val="32"/>
        </w:rPr>
        <w:t>三、其他收入：</w:t>
      </w:r>
      <w:r>
        <w:rPr>
          <w:rFonts w:ascii="Times New Roman" w:hAnsi="Times New Roman" w:eastAsia="仿宋_GB2312" w:cs="Times New Roman"/>
          <w:kern w:val="2"/>
          <w:sz w:val="32"/>
          <w:szCs w:val="32"/>
        </w:rPr>
        <w:t>指除了</w:t>
      </w:r>
      <w:r>
        <w:rPr>
          <w:rFonts w:hint="eastAsia" w:ascii="Times New Roman" w:hAnsi="Times New Roman" w:eastAsia="仿宋_GB2312" w:cs="Times New Roman"/>
          <w:sz w:val="32"/>
          <w:szCs w:val="32"/>
        </w:rPr>
        <w:t>财政</w:t>
      </w:r>
      <w:r>
        <w:rPr>
          <w:rFonts w:ascii="Times New Roman" w:hAnsi="Times New Roman" w:eastAsia="仿宋_GB2312" w:cs="Times New Roman"/>
          <w:kern w:val="2"/>
          <w:sz w:val="32"/>
          <w:szCs w:val="32"/>
        </w:rPr>
        <w:t>拨款收入、</w:t>
      </w:r>
      <w:r>
        <w:rPr>
          <w:rFonts w:hint="eastAsia" w:ascii="Times New Roman" w:hAnsi="Times New Roman" w:eastAsia="仿宋_GB2312" w:cs="Times New Roman"/>
          <w:sz w:val="32"/>
          <w:szCs w:val="32"/>
        </w:rPr>
        <w:t>财政</w:t>
      </w:r>
      <w:r>
        <w:rPr>
          <w:rFonts w:ascii="Times New Roman" w:hAnsi="Times New Roman" w:eastAsia="仿宋_GB2312" w:cs="Times New Roman"/>
          <w:kern w:val="2"/>
          <w:sz w:val="32"/>
          <w:szCs w:val="32"/>
        </w:rPr>
        <w:t>专户管理非税收入等以外的收入。</w:t>
      </w:r>
    </w:p>
    <w:p w14:paraId="7F7F0A83">
      <w:pPr>
        <w:pStyle w:val="6"/>
        <w:keepNext w:val="0"/>
        <w:keepLines w:val="0"/>
        <w:pageBreakBefore w:val="0"/>
        <w:kinsoku/>
        <w:wordWrap/>
        <w:overflowPunct/>
        <w:topLinePunct w:val="0"/>
        <w:autoSpaceDE/>
        <w:autoSpaceDN/>
        <w:bidi w:val="0"/>
        <w:adjustRightInd w:val="0"/>
        <w:snapToGrid w:val="0"/>
        <w:spacing w:before="0" w:beforeAutospacing="0" w:after="0" w:afterAutospacing="0" w:line="600" w:lineRule="exact"/>
        <w:ind w:firstLine="627" w:firstLineChars="196"/>
        <w:textAlignment w:val="auto"/>
        <w:rPr>
          <w:rFonts w:ascii="Times New Roman" w:hAnsi="Times New Roman" w:eastAsia="仿宋_GB2312" w:cs="Times New Roman"/>
          <w:kern w:val="2"/>
          <w:sz w:val="32"/>
          <w:szCs w:val="32"/>
        </w:rPr>
      </w:pPr>
      <w:r>
        <w:rPr>
          <w:rFonts w:ascii="Times New Roman" w:hAnsi="Times New Roman" w:eastAsia="黑体" w:cs="Times New Roman"/>
          <w:sz w:val="32"/>
          <w:szCs w:val="32"/>
        </w:rPr>
        <w:t>四、上年结转：</w:t>
      </w:r>
      <w:r>
        <w:rPr>
          <w:rFonts w:ascii="Times New Roman" w:hAnsi="Times New Roman" w:eastAsia="仿宋_GB2312" w:cs="Times New Roman"/>
          <w:kern w:val="2"/>
          <w:sz w:val="32"/>
          <w:szCs w:val="32"/>
        </w:rPr>
        <w:t>指以前年度安排、结转到本年仍按原用途继续使用的资金。</w:t>
      </w:r>
    </w:p>
    <w:p w14:paraId="1B63DC05">
      <w:pPr>
        <w:pStyle w:val="6"/>
        <w:keepNext w:val="0"/>
        <w:keepLines w:val="0"/>
        <w:pageBreakBefore w:val="0"/>
        <w:kinsoku/>
        <w:wordWrap/>
        <w:overflowPunct/>
        <w:topLinePunct w:val="0"/>
        <w:autoSpaceDE/>
        <w:autoSpaceDN/>
        <w:bidi w:val="0"/>
        <w:adjustRightInd w:val="0"/>
        <w:snapToGrid w:val="0"/>
        <w:spacing w:before="0" w:beforeAutospacing="0" w:after="0" w:afterAutospacing="0" w:line="600" w:lineRule="exact"/>
        <w:ind w:firstLine="627" w:firstLineChars="196"/>
        <w:textAlignment w:val="auto"/>
        <w:rPr>
          <w:rFonts w:ascii="Times New Roman" w:hAnsi="Times New Roman" w:eastAsia="仿宋_GB2312" w:cs="Times New Roman"/>
          <w:kern w:val="2"/>
          <w:sz w:val="32"/>
          <w:szCs w:val="32"/>
        </w:rPr>
      </w:pPr>
      <w:r>
        <w:rPr>
          <w:rFonts w:ascii="Times New Roman" w:hAnsi="Times New Roman" w:eastAsia="黑体" w:cs="Times New Roman"/>
          <w:sz w:val="32"/>
          <w:szCs w:val="32"/>
        </w:rPr>
        <w:t>五、结转下年：</w:t>
      </w:r>
      <w:r>
        <w:rPr>
          <w:rFonts w:ascii="Times New Roman" w:hAnsi="Times New Roman" w:eastAsia="仿宋_GB2312" w:cs="Times New Roman"/>
          <w:kern w:val="2"/>
          <w:sz w:val="32"/>
          <w:szCs w:val="32"/>
        </w:rPr>
        <w:t>指以前年度预算安排、因客观条件发生变化无法按原计划实施，需以后年度按原用途继续使用的资金。</w:t>
      </w:r>
    </w:p>
    <w:p w14:paraId="4A1BEDA9">
      <w:pPr>
        <w:pStyle w:val="6"/>
        <w:keepNext w:val="0"/>
        <w:keepLines w:val="0"/>
        <w:pageBreakBefore w:val="0"/>
        <w:kinsoku/>
        <w:wordWrap/>
        <w:overflowPunct/>
        <w:topLinePunct w:val="0"/>
        <w:autoSpaceDE/>
        <w:autoSpaceDN/>
        <w:bidi w:val="0"/>
        <w:adjustRightInd w:val="0"/>
        <w:snapToGrid w:val="0"/>
        <w:spacing w:before="0" w:beforeAutospacing="0" w:after="0" w:afterAutospacing="0" w:line="600" w:lineRule="exact"/>
        <w:ind w:firstLine="627" w:firstLineChars="196"/>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六、基本支出</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指为保障机构正常运转、完成日常工作任务而发生的人员支出和公用支出。</w:t>
      </w:r>
    </w:p>
    <w:p w14:paraId="4CA4C43B">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27" w:firstLineChars="196"/>
        <w:jc w:val="both"/>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七、项目支出</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指在基本支出之外为完成特定行政任务和事业发展目标所发生的支出。</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 xml:space="preserve"> 八、“三公”经费：</w:t>
      </w:r>
      <w:r>
        <w:rPr>
          <w:rFonts w:ascii="Times New Roman" w:hAnsi="Times New Roman" w:eastAsia="仿宋_GB2312" w:cs="Times New Roman"/>
          <w:sz w:val="32"/>
          <w:szCs w:val="32"/>
        </w:rPr>
        <w:t>纳入</w:t>
      </w:r>
      <w:r>
        <w:rPr>
          <w:rFonts w:hint="eastAsia" w:ascii="Times New Roman" w:hAnsi="Times New Roman" w:eastAsia="仿宋_GB2312" w:cs="Times New Roman"/>
          <w:sz w:val="32"/>
          <w:szCs w:val="32"/>
        </w:rPr>
        <w:t>财政</w:t>
      </w:r>
      <w:r>
        <w:rPr>
          <w:rFonts w:ascii="Times New Roman" w:hAnsi="Times New Roman" w:eastAsia="仿宋_GB2312" w:cs="Times New Roman"/>
          <w:sz w:val="32"/>
          <w:szCs w:val="32"/>
        </w:rPr>
        <w:t>预决算管理的“三公”经费，是指单位用</w:t>
      </w:r>
      <w:r>
        <w:rPr>
          <w:rFonts w:hint="eastAsia" w:ascii="Times New Roman" w:hAnsi="Times New Roman" w:eastAsia="仿宋_GB2312" w:cs="Times New Roman"/>
          <w:sz w:val="32"/>
          <w:szCs w:val="32"/>
        </w:rPr>
        <w:t>财政</w:t>
      </w:r>
      <w:r>
        <w:rPr>
          <w:rFonts w:ascii="Times New Roman" w:hAnsi="Times New Roman" w:eastAsia="仿宋_GB2312" w:cs="Times New Roman"/>
          <w:sz w:val="32"/>
          <w:szCs w:val="32"/>
        </w:rPr>
        <w:t>拨款安排的因公出国（境）费、公务用车购置及运行费和公务接</w:t>
      </w:r>
      <w:r>
        <w:rPr>
          <w:rFonts w:ascii="Times New Roman" w:hAnsi="Times New Roman" w:eastAsia="仿宋_GB2312" w:cs="Times New Roman"/>
          <w:sz w:val="32"/>
          <w:szCs w:val="32"/>
          <w:highlight w:val="none"/>
        </w:rPr>
        <w:t>待费。其中</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因公出国（境）</w:t>
      </w:r>
      <w:r>
        <w:rPr>
          <w:rFonts w:ascii="Times New Roman" w:hAnsi="Times New Roman" w:eastAsia="仿宋_GB2312" w:cs="Times New Roman"/>
          <w:sz w:val="32"/>
          <w:szCs w:val="32"/>
        </w:rPr>
        <w:t>费反映单位公务出国（境）的国际旅费、国外城市间交通费、住宿费、伙食费、培训费、公杂费等支出；公务用车购置及运行费反映单位公务用车购置支出（含车辆购置税）及燃料费、维修费、过桥过路费、保险费、安全奖励费用等支出；公务接待费反映单位按规定开支的各类公务接待（含外宾接待）支出。</w:t>
      </w:r>
    </w:p>
    <w:p w14:paraId="284459BA">
      <w:pPr>
        <w:pStyle w:val="6"/>
        <w:keepNext w:val="0"/>
        <w:keepLines w:val="0"/>
        <w:pageBreakBefore w:val="0"/>
        <w:widowControl/>
        <w:kinsoku/>
        <w:wordWrap/>
        <w:overflowPunct/>
        <w:topLinePunct w:val="0"/>
        <w:autoSpaceDE/>
        <w:autoSpaceDN/>
        <w:bidi w:val="0"/>
        <w:adjustRightInd/>
        <w:snapToGrid/>
        <w:spacing w:beforeAutospacing="0" w:afterAutospacing="0" w:line="600" w:lineRule="exact"/>
        <w:ind w:firstLine="627" w:firstLineChars="196"/>
        <w:textAlignment w:val="auto"/>
        <w:rPr>
          <w:rFonts w:ascii="TimesNewRoman" w:hAnsi="TimesNewRoman" w:eastAsia="仿宋_GB2312" w:cs="TimesNewRoman"/>
          <w:sz w:val="32"/>
          <w:szCs w:val="32"/>
        </w:rPr>
      </w:pPr>
      <w:r>
        <w:rPr>
          <w:rFonts w:hint="eastAsia" w:ascii="TimesNewRoman" w:hAnsi="TimesNewRoman" w:eastAsia="黑体" w:cs="TimesNewRoman"/>
          <w:sz w:val="32"/>
          <w:szCs w:val="32"/>
          <w:lang w:val="en-US" w:eastAsia="zh-CN"/>
        </w:rPr>
        <w:t>九</w:t>
      </w:r>
      <w:r>
        <w:rPr>
          <w:rFonts w:hint="eastAsia" w:ascii="Times New Roman" w:hAnsi="Times New Roman" w:eastAsia="仿宋_GB2312" w:cs="Times New Roman"/>
          <w:sz w:val="32"/>
          <w:szCs w:val="32"/>
          <w:lang w:val="en-US" w:eastAsia="zh-CN"/>
        </w:rPr>
        <w:t>、</w:t>
      </w:r>
      <w:r>
        <w:rPr>
          <w:rFonts w:ascii="TimesNewRoman" w:hAnsi="TimesNewRoman" w:eastAsia="黑体" w:cs="TimesNewRoman"/>
          <w:sz w:val="32"/>
          <w:szCs w:val="32"/>
        </w:rPr>
        <w:t>机关运行经费:</w:t>
      </w:r>
      <w:r>
        <w:rPr>
          <w:rFonts w:ascii="TimesNewRoman" w:hAnsi="TimesNewRoman" w:eastAsia="仿宋_GB2312" w:cs="TimesNewRoman"/>
          <w:sz w:val="32"/>
          <w:szCs w:val="32"/>
        </w:rPr>
        <w:t>为保障行政单位（包括参照公务员法管理的事业单位）运行用于购买货物和服务的各项资金，包括办公及印刷费、邮电费、差旅费、会议费、福利费、日常维修费、一般设备购置费、办公用房水电费、办公用房取暖费、办公用房物业管理费、公务用车运行维护费以及其他费用。</w:t>
      </w:r>
    </w:p>
    <w:p w14:paraId="1885A315">
      <w:pPr>
        <w:pStyle w:val="6"/>
        <w:keepNext w:val="0"/>
        <w:keepLines w:val="0"/>
        <w:pageBreakBefore w:val="0"/>
        <w:widowControl/>
        <w:kinsoku/>
        <w:wordWrap/>
        <w:overflowPunct/>
        <w:topLinePunct w:val="0"/>
        <w:autoSpaceDE/>
        <w:autoSpaceDN/>
        <w:bidi w:val="0"/>
        <w:adjustRightInd w:val="0"/>
        <w:snapToGrid w:val="0"/>
        <w:spacing w:beforeAutospacing="0" w:afterAutospacing="0" w:line="600" w:lineRule="exact"/>
        <w:ind w:firstLine="627" w:firstLineChars="196"/>
        <w:textAlignment w:val="auto"/>
        <w:rPr>
          <w:rFonts w:ascii="TimesNewRoman" w:hAnsi="TimesNewRoman" w:cs="TimesNewRoman"/>
          <w:u w:val="none"/>
        </w:rPr>
      </w:pPr>
      <w:r>
        <w:rPr>
          <w:rFonts w:hint="eastAsia" w:ascii="TimesNewRoman" w:hAnsi="TimesNewRoman" w:eastAsia="黑体" w:cs="TimesNewRoman"/>
          <w:sz w:val="32"/>
          <w:szCs w:val="32"/>
          <w:u w:val="none"/>
          <w:lang w:val="en-US" w:eastAsia="zh-CN"/>
        </w:rPr>
        <w:t>十、</w:t>
      </w:r>
      <w:r>
        <w:rPr>
          <w:rFonts w:ascii="TimesNewRoman" w:hAnsi="TimesNewRoman" w:eastAsia="黑体" w:cs="TimesNewRoman"/>
          <w:sz w:val="32"/>
          <w:szCs w:val="32"/>
          <w:u w:val="none"/>
        </w:rPr>
        <w:t>一般公共服务支出（类）财政事务（款）财政国库业务：</w:t>
      </w:r>
      <w:r>
        <w:rPr>
          <w:rFonts w:ascii="TimesNewRoman" w:hAnsi="TimesNewRoman" w:eastAsia="仿宋_GB2312" w:cs="TimesNewRoman"/>
          <w:sz w:val="32"/>
          <w:szCs w:val="32"/>
          <w:u w:val="none"/>
        </w:rPr>
        <w:t>反映</w:t>
      </w:r>
      <w:r>
        <w:rPr>
          <w:rFonts w:hint="eastAsia" w:ascii="TimesNewRoman" w:hAnsi="TimesNewRoman" w:eastAsia="仿宋_GB2312" w:cs="TimesNewRoman"/>
          <w:sz w:val="32"/>
          <w:szCs w:val="32"/>
          <w:u w:val="none"/>
        </w:rPr>
        <w:t>财政部门</w:t>
      </w:r>
      <w:r>
        <w:rPr>
          <w:rFonts w:ascii="TimesNewRoman" w:hAnsi="TimesNewRoman" w:eastAsia="仿宋_GB2312" w:cs="TimesNewRoman"/>
          <w:sz w:val="32"/>
          <w:szCs w:val="32"/>
          <w:u w:val="none"/>
        </w:rPr>
        <w:t>用于国库集中收付业务方面的支出。</w:t>
      </w:r>
    </w:p>
    <w:p w14:paraId="6EED7D78">
      <w:pPr>
        <w:pStyle w:val="6"/>
        <w:spacing w:line="560" w:lineRule="exact"/>
        <w:ind w:firstLine="627" w:firstLineChars="196"/>
        <w:rPr>
          <w:rFonts w:ascii="TimesNewRoman" w:hAnsi="TimesNewRoman" w:eastAsia="仿宋_GB2312" w:cs="TimesNewRoman"/>
          <w:sz w:val="32"/>
          <w:szCs w:val="32"/>
        </w:rPr>
      </w:pPr>
    </w:p>
    <w:p w14:paraId="45DC08C1">
      <w:pPr>
        <w:keepNext w:val="0"/>
        <w:keepLines w:val="0"/>
        <w:pageBreakBefore w:val="0"/>
        <w:kinsoku/>
        <w:overflowPunct/>
        <w:topLinePunct w:val="0"/>
        <w:autoSpaceDE/>
        <w:autoSpaceDN/>
        <w:bidi w:val="0"/>
        <w:spacing w:line="560" w:lineRule="exact"/>
        <w:jc w:val="both"/>
        <w:rPr>
          <w:rFonts w:hint="default" w:ascii="TimesNewRoman" w:hAnsi="TimesNewRoman" w:eastAsia="华文中宋" w:cs="TimesNewRoman"/>
          <w:b/>
          <w:sz w:val="36"/>
          <w:szCs w:val="36"/>
        </w:rPr>
      </w:pPr>
    </w:p>
    <w:p w14:paraId="50C81175">
      <w:pPr>
        <w:keepNext w:val="0"/>
        <w:keepLines w:val="0"/>
        <w:pageBreakBefore w:val="0"/>
        <w:kinsoku/>
        <w:overflowPunct/>
        <w:topLinePunct w:val="0"/>
        <w:autoSpaceDE/>
        <w:autoSpaceDN/>
        <w:bidi w:val="0"/>
        <w:spacing w:line="560" w:lineRule="exact"/>
        <w:jc w:val="left"/>
        <w:rPr>
          <w:rFonts w:hint="default" w:ascii="TimesNewRoman" w:hAnsi="TimesNewRoman" w:eastAsia="华文中宋" w:cs="TimesNewRoman"/>
          <w:b/>
          <w:sz w:val="36"/>
          <w:szCs w:val="36"/>
        </w:rPr>
      </w:pPr>
    </w:p>
    <w:p w14:paraId="1B3A1547">
      <w:pPr>
        <w:keepNext w:val="0"/>
        <w:keepLines w:val="0"/>
        <w:pageBreakBefore w:val="0"/>
        <w:kinsoku/>
        <w:overflowPunct/>
        <w:topLinePunct w:val="0"/>
        <w:autoSpaceDE/>
        <w:autoSpaceDN/>
        <w:bidi w:val="0"/>
        <w:spacing w:line="560" w:lineRule="exact"/>
        <w:jc w:val="left"/>
        <w:rPr>
          <w:rFonts w:hint="default" w:ascii="TimesNewRoman" w:hAnsi="TimesNewRoman" w:eastAsia="华文中宋" w:cs="TimesNewRoman"/>
          <w:b/>
          <w:sz w:val="36"/>
          <w:szCs w:val="36"/>
        </w:rPr>
      </w:pPr>
    </w:p>
    <w:p w14:paraId="3170DEAC">
      <w:pPr>
        <w:keepNext w:val="0"/>
        <w:keepLines w:val="0"/>
        <w:pageBreakBefore w:val="0"/>
        <w:kinsoku/>
        <w:overflowPunct/>
        <w:topLinePunct w:val="0"/>
        <w:autoSpaceDE/>
        <w:autoSpaceDN/>
        <w:bidi w:val="0"/>
        <w:spacing w:line="560" w:lineRule="exact"/>
        <w:ind w:firstLine="643" w:firstLineChars="200"/>
        <w:jc w:val="left"/>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bCs w:val="0"/>
          <w:sz w:val="32"/>
          <w:szCs w:val="32"/>
          <w:highlight w:val="none"/>
          <w:lang w:eastAsia="zh-CN"/>
        </w:rPr>
        <w:t>附件：</w:t>
      </w:r>
      <w:r>
        <w:rPr>
          <w:rFonts w:hint="eastAsia" w:ascii="仿宋_GB2312" w:hAnsi="仿宋_GB2312" w:eastAsia="仿宋_GB2312" w:cs="仿宋_GB2312"/>
          <w:b w:val="0"/>
          <w:bCs/>
          <w:sz w:val="32"/>
          <w:szCs w:val="32"/>
          <w:highlight w:val="none"/>
          <w:lang w:eastAsia="zh-CN"/>
        </w:rPr>
        <w:t>歙县</w:t>
      </w:r>
      <w:r>
        <w:rPr>
          <w:rFonts w:hint="eastAsia" w:ascii="仿宋_GB2312" w:hAnsi="仿宋_GB2312" w:eastAsia="仿宋_GB2312" w:cs="仿宋_GB2312"/>
          <w:b w:val="0"/>
          <w:bCs/>
          <w:sz w:val="32"/>
          <w:szCs w:val="32"/>
          <w:highlight w:val="none"/>
          <w:lang w:val="en-US" w:eastAsia="zh-CN"/>
        </w:rPr>
        <w:t>长陔乡人民政府2026年度项目支出绩效目标</w:t>
      </w:r>
    </w:p>
    <w:p w14:paraId="171A78DD">
      <w:pPr>
        <w:keepNext w:val="0"/>
        <w:keepLines w:val="0"/>
        <w:pageBreakBefore w:val="0"/>
        <w:kinsoku/>
        <w:overflowPunct/>
        <w:topLinePunct w:val="0"/>
        <w:autoSpaceDE/>
        <w:autoSpaceDN/>
        <w:bidi w:val="0"/>
        <w:spacing w:line="560" w:lineRule="exact"/>
        <w:jc w:val="center"/>
        <w:rPr>
          <w:rFonts w:hint="default" w:ascii="TimesNewRoman" w:hAnsi="TimesNewRoman" w:eastAsia="华文中宋" w:cs="TimesNewRoman"/>
          <w:b/>
          <w:sz w:val="36"/>
          <w:szCs w:val="36"/>
        </w:rPr>
      </w:pPr>
    </w:p>
    <w:p w14:paraId="3AAC7785">
      <w:pPr>
        <w:keepNext w:val="0"/>
        <w:keepLines w:val="0"/>
        <w:pageBreakBefore w:val="0"/>
        <w:kinsoku/>
        <w:overflowPunct/>
        <w:topLinePunct w:val="0"/>
        <w:autoSpaceDE/>
        <w:autoSpaceDN/>
        <w:bidi w:val="0"/>
        <w:spacing w:line="560" w:lineRule="exact"/>
        <w:jc w:val="center"/>
        <w:rPr>
          <w:rFonts w:hint="default" w:ascii="TimesNewRoman" w:hAnsi="TimesNewRoman" w:eastAsia="华文中宋" w:cs="TimesNewRoman"/>
          <w:b/>
          <w:sz w:val="36"/>
          <w:szCs w:val="36"/>
        </w:rPr>
      </w:pPr>
    </w:p>
    <w:p w14:paraId="5C6C15A7">
      <w:pPr>
        <w:keepNext w:val="0"/>
        <w:keepLines w:val="0"/>
        <w:pageBreakBefore w:val="0"/>
        <w:kinsoku/>
        <w:overflowPunct/>
        <w:topLinePunct w:val="0"/>
        <w:autoSpaceDE/>
        <w:autoSpaceDN/>
        <w:bidi w:val="0"/>
        <w:spacing w:line="560" w:lineRule="exact"/>
        <w:jc w:val="center"/>
        <w:rPr>
          <w:rFonts w:hint="default" w:ascii="TimesNewRoman" w:hAnsi="TimesNewRoman" w:eastAsia="华文中宋" w:cs="TimesNewRoman"/>
          <w:b/>
          <w:sz w:val="36"/>
          <w:szCs w:val="36"/>
        </w:rPr>
      </w:pPr>
    </w:p>
    <w:p w14:paraId="5490CBD6">
      <w:pPr>
        <w:rPr>
          <w:rFonts w:hint="default"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
    <w:altName w:val="Segoe Print"/>
    <w:panose1 w:val="02020603050405020304"/>
    <w:charset w:val="00"/>
    <w:family w:val="auto"/>
    <w:pitch w:val="default"/>
    <w:sig w:usb0="00000000" w:usb1="00000000" w:usb2="00000029" w:usb3="00000000" w:csb0="600001FF" w:csb1="FFFF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E22B5E"/>
    <w:rsid w:val="00681F90"/>
    <w:rsid w:val="00BF52BD"/>
    <w:rsid w:val="02206C79"/>
    <w:rsid w:val="03101E00"/>
    <w:rsid w:val="03115A13"/>
    <w:rsid w:val="03A24E08"/>
    <w:rsid w:val="0442423B"/>
    <w:rsid w:val="04713C0F"/>
    <w:rsid w:val="051931EE"/>
    <w:rsid w:val="05684874"/>
    <w:rsid w:val="05F44BC5"/>
    <w:rsid w:val="060E748D"/>
    <w:rsid w:val="066216A7"/>
    <w:rsid w:val="06A87133"/>
    <w:rsid w:val="07C66F31"/>
    <w:rsid w:val="07CB11DD"/>
    <w:rsid w:val="09383E5F"/>
    <w:rsid w:val="09523172"/>
    <w:rsid w:val="0A5445F0"/>
    <w:rsid w:val="0A56459C"/>
    <w:rsid w:val="0A5B18D9"/>
    <w:rsid w:val="0BE1294E"/>
    <w:rsid w:val="0C637B3C"/>
    <w:rsid w:val="0D4E0668"/>
    <w:rsid w:val="0D512D78"/>
    <w:rsid w:val="0DD95C10"/>
    <w:rsid w:val="0E4E740F"/>
    <w:rsid w:val="0F2B4274"/>
    <w:rsid w:val="0F470918"/>
    <w:rsid w:val="11124F95"/>
    <w:rsid w:val="113A7A9D"/>
    <w:rsid w:val="1254216B"/>
    <w:rsid w:val="127E143C"/>
    <w:rsid w:val="13855E46"/>
    <w:rsid w:val="13AA0B30"/>
    <w:rsid w:val="13B567D8"/>
    <w:rsid w:val="13C407C9"/>
    <w:rsid w:val="13EF0A3E"/>
    <w:rsid w:val="14223741"/>
    <w:rsid w:val="149D652B"/>
    <w:rsid w:val="15BC2AB9"/>
    <w:rsid w:val="161A5018"/>
    <w:rsid w:val="16B8570B"/>
    <w:rsid w:val="17905B43"/>
    <w:rsid w:val="17E7717C"/>
    <w:rsid w:val="189E49D8"/>
    <w:rsid w:val="192E7A64"/>
    <w:rsid w:val="19575C3B"/>
    <w:rsid w:val="198E2654"/>
    <w:rsid w:val="199B021E"/>
    <w:rsid w:val="19A215AC"/>
    <w:rsid w:val="19F46202"/>
    <w:rsid w:val="1A676352"/>
    <w:rsid w:val="1A9B0BEB"/>
    <w:rsid w:val="1ABC669E"/>
    <w:rsid w:val="1B0F0CBE"/>
    <w:rsid w:val="1BBB3816"/>
    <w:rsid w:val="1BD21EF1"/>
    <w:rsid w:val="1BF046A2"/>
    <w:rsid w:val="1C01128E"/>
    <w:rsid w:val="1C6846AA"/>
    <w:rsid w:val="1D8965DF"/>
    <w:rsid w:val="1DD01C77"/>
    <w:rsid w:val="1DD85F79"/>
    <w:rsid w:val="1E01086B"/>
    <w:rsid w:val="1E2412D7"/>
    <w:rsid w:val="1E7B061E"/>
    <w:rsid w:val="1E7B7EED"/>
    <w:rsid w:val="1EE14611"/>
    <w:rsid w:val="202B07D6"/>
    <w:rsid w:val="20765541"/>
    <w:rsid w:val="20D3029D"/>
    <w:rsid w:val="22427005"/>
    <w:rsid w:val="228329E6"/>
    <w:rsid w:val="22950445"/>
    <w:rsid w:val="22A77E1B"/>
    <w:rsid w:val="23384A33"/>
    <w:rsid w:val="24574846"/>
    <w:rsid w:val="2505398C"/>
    <w:rsid w:val="251470D6"/>
    <w:rsid w:val="254B55D4"/>
    <w:rsid w:val="265A320F"/>
    <w:rsid w:val="27E22B5E"/>
    <w:rsid w:val="2964687E"/>
    <w:rsid w:val="29970723"/>
    <w:rsid w:val="299928BE"/>
    <w:rsid w:val="29EB1C5C"/>
    <w:rsid w:val="2B3202B6"/>
    <w:rsid w:val="2C500974"/>
    <w:rsid w:val="2C701096"/>
    <w:rsid w:val="2D095921"/>
    <w:rsid w:val="2D621327"/>
    <w:rsid w:val="2D960FD0"/>
    <w:rsid w:val="2E093550"/>
    <w:rsid w:val="2E186BB6"/>
    <w:rsid w:val="2E8C5F2F"/>
    <w:rsid w:val="2E930A08"/>
    <w:rsid w:val="2F9B4539"/>
    <w:rsid w:val="2FB90E76"/>
    <w:rsid w:val="2FC517A5"/>
    <w:rsid w:val="2FD96084"/>
    <w:rsid w:val="2FDC2C0D"/>
    <w:rsid w:val="2FF00323"/>
    <w:rsid w:val="2FF24A22"/>
    <w:rsid w:val="303643A5"/>
    <w:rsid w:val="304E386E"/>
    <w:rsid w:val="30D40CA4"/>
    <w:rsid w:val="31614C46"/>
    <w:rsid w:val="32110C25"/>
    <w:rsid w:val="32290665"/>
    <w:rsid w:val="32396CA2"/>
    <w:rsid w:val="324759B4"/>
    <w:rsid w:val="324A05DB"/>
    <w:rsid w:val="33501CEB"/>
    <w:rsid w:val="33A607C1"/>
    <w:rsid w:val="33A61841"/>
    <w:rsid w:val="3438615D"/>
    <w:rsid w:val="345B49C2"/>
    <w:rsid w:val="357F059C"/>
    <w:rsid w:val="36B45DB4"/>
    <w:rsid w:val="36C56777"/>
    <w:rsid w:val="36D02B02"/>
    <w:rsid w:val="36FD5413"/>
    <w:rsid w:val="378E2D18"/>
    <w:rsid w:val="37F06B6E"/>
    <w:rsid w:val="37F94635"/>
    <w:rsid w:val="37FB3A22"/>
    <w:rsid w:val="38166C00"/>
    <w:rsid w:val="38216165"/>
    <w:rsid w:val="38286BF6"/>
    <w:rsid w:val="38442B31"/>
    <w:rsid w:val="384D4981"/>
    <w:rsid w:val="39650B88"/>
    <w:rsid w:val="398064B0"/>
    <w:rsid w:val="39A7724F"/>
    <w:rsid w:val="3A0469AD"/>
    <w:rsid w:val="3AB868DE"/>
    <w:rsid w:val="3B2E0A9A"/>
    <w:rsid w:val="3B583D69"/>
    <w:rsid w:val="3BD641DA"/>
    <w:rsid w:val="3C0147DC"/>
    <w:rsid w:val="3C1F6B18"/>
    <w:rsid w:val="3DA45043"/>
    <w:rsid w:val="3E12494B"/>
    <w:rsid w:val="3E3363C7"/>
    <w:rsid w:val="3E4B7B72"/>
    <w:rsid w:val="3F8B6297"/>
    <w:rsid w:val="400E4A96"/>
    <w:rsid w:val="401D2496"/>
    <w:rsid w:val="401E7079"/>
    <w:rsid w:val="403D7DAC"/>
    <w:rsid w:val="40577083"/>
    <w:rsid w:val="40BD251B"/>
    <w:rsid w:val="416A4096"/>
    <w:rsid w:val="41831CFE"/>
    <w:rsid w:val="418C098E"/>
    <w:rsid w:val="41A055C7"/>
    <w:rsid w:val="42DA5063"/>
    <w:rsid w:val="42E06BC9"/>
    <w:rsid w:val="4358671C"/>
    <w:rsid w:val="43762FDE"/>
    <w:rsid w:val="43FD54AD"/>
    <w:rsid w:val="448E1545"/>
    <w:rsid w:val="44E421C9"/>
    <w:rsid w:val="453855CF"/>
    <w:rsid w:val="455908D0"/>
    <w:rsid w:val="455A335D"/>
    <w:rsid w:val="457E00AA"/>
    <w:rsid w:val="45BE70CB"/>
    <w:rsid w:val="46397AB7"/>
    <w:rsid w:val="465C63DB"/>
    <w:rsid w:val="47683981"/>
    <w:rsid w:val="47775577"/>
    <w:rsid w:val="47B24ECF"/>
    <w:rsid w:val="47BE551F"/>
    <w:rsid w:val="48076A98"/>
    <w:rsid w:val="48705D28"/>
    <w:rsid w:val="48745CB4"/>
    <w:rsid w:val="492E6F80"/>
    <w:rsid w:val="4958210D"/>
    <w:rsid w:val="495D69A1"/>
    <w:rsid w:val="49D156B5"/>
    <w:rsid w:val="49DC41C1"/>
    <w:rsid w:val="4A315EB1"/>
    <w:rsid w:val="4AB663B6"/>
    <w:rsid w:val="4B4228ED"/>
    <w:rsid w:val="4B5253BF"/>
    <w:rsid w:val="4B8B339F"/>
    <w:rsid w:val="4BBA3C84"/>
    <w:rsid w:val="4C1C59F6"/>
    <w:rsid w:val="4C6866A3"/>
    <w:rsid w:val="4EBE1CDD"/>
    <w:rsid w:val="4ECA0682"/>
    <w:rsid w:val="4FB14990"/>
    <w:rsid w:val="4FED44F1"/>
    <w:rsid w:val="50BB0282"/>
    <w:rsid w:val="511D2CEB"/>
    <w:rsid w:val="525F10E1"/>
    <w:rsid w:val="52B14033"/>
    <w:rsid w:val="52C35B14"/>
    <w:rsid w:val="52E87329"/>
    <w:rsid w:val="52F70203"/>
    <w:rsid w:val="531620E8"/>
    <w:rsid w:val="5339651E"/>
    <w:rsid w:val="53764FB2"/>
    <w:rsid w:val="53E421E6"/>
    <w:rsid w:val="55603AEE"/>
    <w:rsid w:val="558772CD"/>
    <w:rsid w:val="559E4AB5"/>
    <w:rsid w:val="55DD513F"/>
    <w:rsid w:val="56064695"/>
    <w:rsid w:val="56466840"/>
    <w:rsid w:val="568D26C1"/>
    <w:rsid w:val="56DA69BF"/>
    <w:rsid w:val="5731352A"/>
    <w:rsid w:val="574975DB"/>
    <w:rsid w:val="57875698"/>
    <w:rsid w:val="57AA72A2"/>
    <w:rsid w:val="57FE314A"/>
    <w:rsid w:val="580A5071"/>
    <w:rsid w:val="58A5692B"/>
    <w:rsid w:val="58E029C3"/>
    <w:rsid w:val="5A455061"/>
    <w:rsid w:val="5A83045E"/>
    <w:rsid w:val="5BD3501A"/>
    <w:rsid w:val="5BDE0811"/>
    <w:rsid w:val="5C0827EA"/>
    <w:rsid w:val="5CB13D12"/>
    <w:rsid w:val="5D2520E1"/>
    <w:rsid w:val="5DC5002E"/>
    <w:rsid w:val="5DF64FF0"/>
    <w:rsid w:val="5DF721D2"/>
    <w:rsid w:val="5F4104EC"/>
    <w:rsid w:val="5FAD00B5"/>
    <w:rsid w:val="5FBE38EB"/>
    <w:rsid w:val="609127A3"/>
    <w:rsid w:val="61B054B5"/>
    <w:rsid w:val="62AB0590"/>
    <w:rsid w:val="64317DBC"/>
    <w:rsid w:val="65591F08"/>
    <w:rsid w:val="65A35619"/>
    <w:rsid w:val="65C4153D"/>
    <w:rsid w:val="661C580F"/>
    <w:rsid w:val="6686712D"/>
    <w:rsid w:val="66C71368"/>
    <w:rsid w:val="66CC1ACE"/>
    <w:rsid w:val="66DF2F3C"/>
    <w:rsid w:val="67666726"/>
    <w:rsid w:val="677D5406"/>
    <w:rsid w:val="67980EC5"/>
    <w:rsid w:val="6863313C"/>
    <w:rsid w:val="68DB53E7"/>
    <w:rsid w:val="692C3FBB"/>
    <w:rsid w:val="6AB10267"/>
    <w:rsid w:val="6B041AA0"/>
    <w:rsid w:val="6B166CD1"/>
    <w:rsid w:val="6BB56F58"/>
    <w:rsid w:val="6CB542C8"/>
    <w:rsid w:val="6D694DF1"/>
    <w:rsid w:val="6E1A11D4"/>
    <w:rsid w:val="6E227A24"/>
    <w:rsid w:val="6EED7D49"/>
    <w:rsid w:val="704A2F79"/>
    <w:rsid w:val="70C14FE6"/>
    <w:rsid w:val="725D4DC3"/>
    <w:rsid w:val="7298621E"/>
    <w:rsid w:val="732E6B82"/>
    <w:rsid w:val="73465C7A"/>
    <w:rsid w:val="741A4194"/>
    <w:rsid w:val="75E90354"/>
    <w:rsid w:val="760F67E2"/>
    <w:rsid w:val="76595CC4"/>
    <w:rsid w:val="76670E73"/>
    <w:rsid w:val="76685F07"/>
    <w:rsid w:val="76C577FD"/>
    <w:rsid w:val="784406D3"/>
    <w:rsid w:val="78871424"/>
    <w:rsid w:val="78B66ACB"/>
    <w:rsid w:val="79C6119F"/>
    <w:rsid w:val="79CB1A40"/>
    <w:rsid w:val="79EB1329"/>
    <w:rsid w:val="7A142C96"/>
    <w:rsid w:val="7A584AFD"/>
    <w:rsid w:val="7AA240DD"/>
    <w:rsid w:val="7B1E74DC"/>
    <w:rsid w:val="7B2B1D9A"/>
    <w:rsid w:val="7B7956C9"/>
    <w:rsid w:val="7CC04CEF"/>
    <w:rsid w:val="7D717F76"/>
    <w:rsid w:val="7D9207A3"/>
    <w:rsid w:val="7EDD1E49"/>
    <w:rsid w:val="7F1D7E1A"/>
    <w:rsid w:val="7F5A13A0"/>
    <w:rsid w:val="7F936A96"/>
    <w:rsid w:val="7FC42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afterLines="0" w:afterAutospacing="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Strong"/>
    <w:qFormat/>
    <w:uiPriority w:val="0"/>
    <w:rPr>
      <w:b/>
    </w:rPr>
  </w:style>
  <w:style w:type="paragraph" w:customStyle="1" w:styleId="10">
    <w:name w:val="p"/>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1">
    <w:name w:val="正文样式"/>
    <w:basedOn w:val="6"/>
    <w:qFormat/>
    <w:uiPriority w:val="0"/>
    <w:pPr>
      <w:spacing w:before="0" w:beforeAutospacing="0" w:after="0" w:afterAutospacing="0" w:line="560" w:lineRule="exact"/>
      <w:ind w:firstLine="640" w:firstLineChars="200"/>
      <w:jc w:val="both"/>
    </w:pPr>
    <w:rPr>
      <w:rFonts w:ascii="Times New Roman" w:hAnsi="Times New Roman" w:eastAsia="仿宋_GB2312" w:cs="Times New Roman"/>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2" Type="http://schemas.openxmlformats.org/officeDocument/2006/relationships/fontTable" Target="fontTable.xml"/><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9226</Words>
  <Characters>10329</Characters>
  <Lines>0</Lines>
  <Paragraphs>0</Paragraphs>
  <TotalTime>2</TotalTime>
  <ScaleCrop>false</ScaleCrop>
  <LinksUpToDate>false</LinksUpToDate>
  <CharactersWithSpaces>10380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2026-02-11T08:11:00Z</dcterms:created>
  <dc:creator>吴思敏</dc:creator>
  <cp:lastModifiedBy>吴思敏</cp:lastModifiedBy>
  <dcterms:modified xsi:type="dcterms:W3CDTF">2026-02-27T01:39:21Z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686427A030B34BC285171C0324985EBF_11</vt:lpwstr>
  </property>
  <property fmtid="{D5CDD505-2E9C-101B-9397-08002B2CF9AE}" pid="4" name="KSOTemplateDocerSaveRecord">
    <vt:lpwstr>eyJoZGlkIjoiZmZmNTc0NjYwODc1MThkYzVlNDY3NWNmYzYxZDBmODEiLCJ1c2VySWQiOiIyNDUyMDY5OTUifQ==</vt:lpwstr>
  </property>
</Properties>
</file>