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D64B3">
      <w:pPr>
        <w:keepNext w:val="0"/>
        <w:keepLines w:val="0"/>
        <w:pageBreakBefore w:val="0"/>
        <w:widowControl w:val="0"/>
        <w:kinsoku/>
        <w:wordWrap/>
        <w:overflowPunct/>
        <w:topLinePunct w:val="0"/>
        <w:autoSpaceDE/>
        <w:autoSpaceDN/>
        <w:bidi w:val="0"/>
        <w:adjustRightInd/>
        <w:snapToGrid/>
        <w:spacing w:before="2965" w:beforeLines="950" w:after="469" w:afterLines="150" w:line="700" w:lineRule="exact"/>
        <w:ind w:right="-334" w:rightChars="-159"/>
        <w:jc w:val="center"/>
        <w:textAlignment w:val="auto"/>
        <w:rPr>
          <w:rFonts w:hint="default" w:ascii="Times New Roman" w:hAnsi="Times New Roman" w:eastAsia="微软雅黑" w:cs="Times New Roman"/>
          <w:i w:val="0"/>
          <w:iCs w:val="0"/>
          <w:caps w:val="0"/>
          <w:color w:val="auto"/>
          <w:spacing w:val="0"/>
          <w:sz w:val="36"/>
          <w:szCs w:val="36"/>
          <w:highlight w:val="none"/>
          <w:shd w:val="clear" w:fill="FFFFFF"/>
          <w:lang w:val="en-US" w:eastAsia="zh-CN"/>
        </w:rPr>
      </w:pPr>
      <w:r>
        <w:rPr>
          <w:rFonts w:hint="default" w:ascii="Times New Roman" w:hAnsi="Times New Roman" w:eastAsia="方正仿宋_GB2312" w:cs="Times New Roman"/>
          <w:color w:val="auto"/>
          <w:sz w:val="32"/>
          <w:szCs w:val="32"/>
          <w:highlight w:val="none"/>
        </w:rPr>
        <w:t>歙环字〔202</w:t>
      </w:r>
      <w:r>
        <w:rPr>
          <w:rFonts w:hint="eastAsia" w:ascii="Times New Roman" w:hAnsi="Times New Roman" w:eastAsia="方正仿宋_GB2312" w:cs="Times New Roman"/>
          <w:color w:val="auto"/>
          <w:sz w:val="32"/>
          <w:szCs w:val="32"/>
          <w:highlight w:val="none"/>
          <w:lang w:val="en-US" w:eastAsia="zh-CN"/>
        </w:rPr>
        <w:t>6</w:t>
      </w:r>
      <w:r>
        <w:rPr>
          <w:rFonts w:hint="default" w:ascii="Times New Roman" w:hAnsi="Times New Roman" w:eastAsia="方正仿宋_GB2312" w:cs="Times New Roman"/>
          <w:color w:val="auto"/>
          <w:sz w:val="32"/>
          <w:szCs w:val="32"/>
          <w:highlight w:val="none"/>
        </w:rPr>
        <w:t>〕</w:t>
      </w:r>
      <w:r>
        <w:rPr>
          <w:rFonts w:hint="eastAsia" w:ascii="Times New Roman" w:hAnsi="Times New Roman" w:eastAsia="方正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号</w:t>
      </w:r>
    </w:p>
    <w:p w14:paraId="203FCEC0">
      <w:pPr>
        <w:keepNext w:val="0"/>
        <w:keepLines w:val="0"/>
        <w:pageBreakBefore w:val="0"/>
        <w:widowControl w:val="0"/>
        <w:kinsoku/>
        <w:wordWrap/>
        <w:overflowPunct/>
        <w:topLinePunct w:val="0"/>
        <w:autoSpaceDE/>
        <w:autoSpaceDN/>
        <w:bidi w:val="0"/>
        <w:adjustRightInd/>
        <w:snapToGrid/>
        <w:spacing w:after="313" w:afterLines="100" w:line="700" w:lineRule="exact"/>
        <w:jc w:val="center"/>
        <w:textAlignment w:val="auto"/>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关于</w:t>
      </w:r>
      <w:bookmarkStart w:id="4" w:name="_GoBack"/>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歙县奕韵会展服务有限公司年产100套奶粉地堆项目环境影响报告表的批复</w:t>
      </w:r>
      <w:bookmarkEnd w:id="4"/>
    </w:p>
    <w:p w14:paraId="4B43902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歙县奕韵会展服务有限公司：</w:t>
      </w:r>
    </w:p>
    <w:p w14:paraId="09CACB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报来的年产100套奶粉地堆项目</w:t>
      </w:r>
      <w:r>
        <w:rPr>
          <w:rFonts w:hint="eastAsia" w:eastAsia="仿宋_GB2312"/>
          <w:color w:val="000000"/>
          <w:sz w:val="32"/>
          <w:szCs w:val="32"/>
          <w:lang w:val="zh-CN"/>
        </w:rPr>
        <w:t>《行政许可申请书》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安徽众远环境科技有限公司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编制的《歙县奕韵会展服务有限公司年产100套奶粉地堆项目环境影响报告表</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（以下简称《报告</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》）收悉</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sz w:val="32"/>
          <w:szCs w:val="32"/>
        </w:rPr>
        <w:t>该项目经专家技术函审，并在歙县人民政府网站公示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经研究，</w:t>
      </w:r>
      <w:r>
        <w:rPr>
          <w:rFonts w:hint="default" w:ascii="Times New Roman" w:hAnsi="Times New Roman" w:eastAsia="仿宋_GB2312" w:cs="Times New Roman"/>
          <w:color w:val="auto"/>
          <w:sz w:val="32"/>
          <w:szCs w:val="32"/>
        </w:rPr>
        <w:t>现批复如下</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0DD23D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sz w:val="32"/>
          <w:szCs w:val="32"/>
          <w:highlight w:val="yellow"/>
          <w:lang w:val="en-US" w:eastAsia="zh-CN"/>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一、项目位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于歙县富堨工业园黄山市博铭康电力科技有限公司厂区内（经度：118度24分11.672秒，纬度：29度53分35.981秒</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bookmarkStart w:id="0" w:name="OLE_LINK285"/>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bookmarkEnd w:id="0"/>
      <w:bookmarkStart w:id="1" w:name="OLE_LINK202"/>
      <w:bookmarkStart w:id="2" w:name="OLE_LINK200"/>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w:t>
      </w:r>
      <w:bookmarkEnd w:id="1"/>
      <w:bookmarkEnd w:id="2"/>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拟租赁厂房进行内部改造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，建筑面积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3438.85m</w:t>
      </w:r>
      <w:r>
        <w:rPr>
          <w:rFonts w:hint="default"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，总投资580万元，其中环保投资50万元</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购置喷绘机、切割机、喷漆房等生产设备，建成后可年产奶粉地堆100套。</w:t>
      </w:r>
    </w:p>
    <w:p w14:paraId="4D1204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二、从生态环境保护角度，我局同意你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按《报告表》</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所列建设项目的性质、规模、地点、采用的生产工艺和拟采取的各项环境保护措施进行建设</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auto"/>
          <w:sz w:val="32"/>
          <w:szCs w:val="32"/>
          <w:lang w:val="en-US" w:eastAsia="zh-CN"/>
        </w:rPr>
        <w:t>并重点做好以下工作</w:t>
      </w:r>
      <w:r>
        <w:rPr>
          <w:rFonts w:hint="eastAsia" w:ascii="Times New Roman" w:hAnsi="Times New Roman" w:eastAsia="仿宋_GB2312" w:cs="Times New Roman"/>
          <w:color w:val="auto"/>
          <w:sz w:val="32"/>
          <w:szCs w:val="32"/>
          <w:lang w:val="en-US" w:eastAsia="zh-CN"/>
        </w:rPr>
        <w:t>：</w:t>
      </w:r>
    </w:p>
    <w:p w14:paraId="04CA2EC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项目使用的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溶剂型涂料和水性涂料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应符合《低挥发性有机化合物含量涂料产品技术要求》（GB/T38597-2020）、《工业防护涂料中有害物质限量》（GB30981-2020）以及《涂料中有害物质限量 第2部分：工业涂料》（GB 30981.2-2025）中的相应限值要求；环保洗枪水应符合《清洗剂挥发性有机化合物含量限值》（GB38508-2020）中限值要求；水性油墨应符合《油墨中可挥发性有机化合物（ⅤOCS）含量的限值》（GB 38507-2020）的相应限值要求。</w:t>
      </w:r>
    </w:p>
    <w:p w14:paraId="3ACCA99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auto"/>
          <w:sz w:val="32"/>
          <w:szCs w:val="32"/>
          <w:lang w:val="en-US" w:eastAsia="zh-CN"/>
        </w:rPr>
        <w:t>严</w:t>
      </w:r>
      <w:r>
        <w:rPr>
          <w:rFonts w:hint="default" w:ascii="Times New Roman" w:hAnsi="Times New Roman" w:eastAsia="仿宋_GB2312" w:cs="Times New Roman"/>
          <w:color w:val="auto"/>
          <w:sz w:val="32"/>
          <w:szCs w:val="32"/>
          <w:highlight w:val="none"/>
          <w:lang w:val="en-US" w:eastAsia="zh-CN"/>
        </w:rPr>
        <w:t>格落实水环境保护措施。</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项目依托厂区内已建的雨污分流系统</w:t>
      </w:r>
      <w:bookmarkStart w:id="3" w:name="OLE_LINK69"/>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废水按要求建设规范化排污口</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生活污水</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经</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厂区内现有</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化粪池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后达到《污水综合排放标准》（GB8978-1996）表4三级标准，其中氨氮达到《污水排入城镇下水道水质标准》（GB/T31962-2015）中B级限值后</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经厂区总排口进入市政污水管网，</w:t>
      </w:r>
      <w:bookmarkEnd w:id="3"/>
      <w:r>
        <w:rPr>
          <w:rFonts w:hint="eastAsia" w:ascii="Times New Roman" w:hAnsi="Times New Roman" w:eastAsia="仿宋_GB2312" w:cs="Times New Roman"/>
          <w:color w:val="auto"/>
          <w:sz w:val="32"/>
          <w:szCs w:val="32"/>
          <w:highlight w:val="none"/>
          <w:lang w:val="en-US" w:eastAsia="zh-CN"/>
        </w:rPr>
        <w:t>经歙县污水处理厂处理达标后排入练江</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14:paraId="107E82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落实</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大气污染防治措施。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项目建设、运行不得降低所在区域大气环境质量，</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应确保所在区域环境空气质量达到《环境空气质量标准》（GB3095-2012）及2018年修改单中规定的二级标准浓度限值。非甲烷总烃参照执行《大气污染物综合排放标准详解》中的推荐值标准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油漆、稀释剂、固化剂、水性漆、水性油墨等涉</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VOCs</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物料均密闭桶装储存于漆料库内。项目雕刻、切割粉尘</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密闭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集气罩收集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后经“</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布袋除尘器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处理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焊接烟尘</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密闭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集气罩收集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后经“</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焊接烟尘净化器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处理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后一同通过不低于15m高排气筒</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（DA001）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排放。喷漆房</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（调漆、喷漆、流平、洗枪）</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、晾漆房</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（晾干/烘干）</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危废间为密闭车间，柜式烤箱为密闭设备，废气负压收集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；喷绘废气经密闭集气罩收集。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喷漆工序产生的漆雾经</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干式漆雾过滤柜（三级过滤棉）</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吸附处理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后，与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涂装工序中调漆、流平、洗枪</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晾干/烘干产生的有机废气</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危废间产生的有机废气</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喷绘废气，一同经过</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1套二级高效活性炭吸附装置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处理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通过不低于15m高排气筒</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（DA002）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排放。</w:t>
      </w:r>
    </w:p>
    <w:p w14:paraId="5E82CB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有组织颗粒物及厂界无组织颗粒物、非甲烷总烃排放执行《大气污染物综合排放标准》（GB16297-1996）表2中二级排放标准及无组织排放监控浓度限值；有组织非甲烷总烃、乙酸乙酯、乙酸丁酯排放执行安徽省地方标准《固定源挥发性有机物综合排放标准 第4部分：印刷工业》（DB34/4812.4-2024）表1和表2中排放限值</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厂区内非甲烷总烃执行安徽省地标《固定源挥发性有机物综合排放标准 第4部分：印刷工业》（DB34/4812.4-2024）表3中相应排放限值。</w:t>
      </w:r>
    </w:p>
    <w:p w14:paraId="54676F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auto"/>
          <w:sz w:val="32"/>
          <w:szCs w:val="32"/>
          <w:highlight w:val="none"/>
          <w:lang w:val="en-US" w:eastAsia="zh-CN"/>
        </w:rPr>
        <w:t>项目厂房</w:t>
      </w:r>
      <w:r>
        <w:rPr>
          <w:rFonts w:hint="default" w:ascii="Times New Roman" w:hAnsi="Times New Roman" w:eastAsia="仿宋_GB2312" w:cs="Times New Roman"/>
          <w:color w:val="auto"/>
          <w:sz w:val="32"/>
          <w:szCs w:val="32"/>
          <w:highlight w:val="none"/>
          <w:lang w:val="en-US" w:eastAsia="zh-CN"/>
        </w:rPr>
        <w:t>外</w:t>
      </w:r>
      <w:r>
        <w:rPr>
          <w:rFonts w:hint="eastAsia" w:ascii="Times New Roman" w:hAnsi="Times New Roman" w:eastAsia="仿宋_GB2312" w:cs="Times New Roman"/>
          <w:color w:val="auto"/>
          <w:sz w:val="32"/>
          <w:szCs w:val="32"/>
          <w:highlight w:val="none"/>
          <w:lang w:val="en-US" w:eastAsia="zh-CN"/>
        </w:rPr>
        <w:t>100m</w:t>
      </w:r>
      <w:r>
        <w:rPr>
          <w:rFonts w:hint="default" w:ascii="Times New Roman" w:hAnsi="Times New Roman" w:eastAsia="仿宋_GB2312" w:cs="Times New Roman"/>
          <w:color w:val="auto"/>
          <w:sz w:val="32"/>
          <w:szCs w:val="32"/>
          <w:highlight w:val="none"/>
          <w:lang w:val="en-US" w:eastAsia="zh-CN"/>
        </w:rPr>
        <w:t>为环境防护距离</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该环境防护距离范围内不得有医院、学校、居民住宅、食品企业等环境敏感建筑物。</w:t>
      </w:r>
    </w:p>
    <w:p w14:paraId="469D2B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落实噪声污染防治措施。优先选用低噪声设备，对各类噪声源采取必要的隔声、减震、消声、降噪措施，确保项目生产过程中厂界噪声符合《工业企业厂界环境噪声排放标准》（GB12348-2008）中3类标准。</w:t>
      </w:r>
    </w:p>
    <w:p w14:paraId="7C7BD4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做好固体废物污染防治工作。建立健全工业固体废物产生、收集、贮存、运输、利用、处置全过程的污染环境防治责任制度，建立工业固体废物管理台</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账，按规定建设工业固废贮存场所，采取防治工业固体废物污染环境的措施。空氩气瓶集中收集后</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由原厂家带回。</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对废包装桶、</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废机油、废机油桶、废过滤棉、废活性炭及洗枪废液等危险废物必须按照《中华人民共和国固体废物污染环境防治法》中的特别规定和《危险废物贮存污染控制标准》（GB18597-2023）的要求，配备专用储存容器进行收集</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，储存于专用危险废物临时储存设施，</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委托有资质的专业机构对其进行处置，并做好处置记录，不得随意处置；应制定危险废物管理计划，并将管理计划及危险废物管理有关资料向环境保护行政主管部门申报、备案。</w:t>
      </w:r>
    </w:p>
    <w:p w14:paraId="4F19C37E">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宋体" w:cs="Times New Roman"/>
          <w:kern w:val="0"/>
          <w:sz w:val="24"/>
          <w:szCs w:val="20"/>
          <w:lang w:val="en-US" w:eastAsia="zh-CN" w:bidi="ar-SA"/>
        </w:rPr>
      </w:pPr>
      <w:r>
        <w:rPr>
          <w:rFonts w:hint="eastAsia" w:ascii="Times New Roman" w:hAnsi="Times New Roman" w:eastAsia="仿宋_GB2312" w:cs="Times New Roman"/>
          <w:color w:val="auto"/>
          <w:kern w:val="0"/>
          <w:sz w:val="32"/>
          <w:szCs w:val="32"/>
          <w:lang w:val="en-US" w:eastAsia="zh-CN" w:bidi="ar-SA"/>
        </w:rPr>
        <w:t>6.做好地下水、土壤污染防治工作。严格落实《报告表》中分区防渗和泄漏收集措施，确保地下水环境质量达到《地下水质量标准》（GB/T14848-2017）中的Ⅲ类标准，建设用地达到《土壤环境质量标准 建设用地土壤污染风险管控标准（试行）》（GB36600-2018）表1中第二类用地筛选值标准，防止地下水、土壤受到污染。</w:t>
      </w:r>
    </w:p>
    <w:p w14:paraId="5839149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7.</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做好项目的环境风险防范工作。建立环境风险应急管理体系，按规定编制突发环境事件应急预案，保证防范环境风险配套设施的落实；在生产中要严格执行防范环境风险事故的制度和措施，做好运输、贮存和生产等环节的环境风险管理；出现事故隐患等环境危害事件，应立即按照突发环境事件应急预案处置，包括停止生产，并及时向生态环境部门及相关部门报告。</w:t>
      </w:r>
    </w:p>
    <w:p w14:paraId="3651DB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auto"/>
          <w:sz w:val="32"/>
          <w:szCs w:val="32"/>
          <w:lang w:val="en-US" w:eastAsia="zh-CN"/>
        </w:rPr>
        <w:t>建立健全环境管理规章制度，设立环境管理机构，确定专人负责环保工作。加强对污染治理设施的管理和维护，确保污染治理设施正常运行，污染物稳定达标排放。</w:t>
      </w:r>
    </w:p>
    <w:p w14:paraId="2E0FDA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color w:val="auto"/>
          <w:lang w:val="en-US" w:eastAsia="zh-CN"/>
        </w:rPr>
      </w:pP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施工期应按照《报告表》要求及相关规定落实废气、废水、噪声等污染防治措施，做好固体废物管理，确保施工期污染物达标排放。</w:t>
      </w:r>
    </w:p>
    <w:p w14:paraId="589C87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仿宋_GB2312" w:cs="Times New Roman"/>
          <w:color w:val="000000"/>
          <w:sz w:val="32"/>
          <w:szCs w:val="32"/>
          <w:highlight w:val="none"/>
          <w:lang w:val="en-US" w:eastAsia="zh-CN"/>
        </w:rPr>
        <w:t>三、</w:t>
      </w:r>
      <w:r>
        <w:rPr>
          <w:rFonts w:hint="eastAsia" w:ascii="Times New Roman" w:hAnsi="Times New Roman" w:eastAsia="仿宋_GB2312" w:cs="Times New Roman"/>
          <w:color w:val="000000"/>
          <w:sz w:val="32"/>
          <w:szCs w:val="32"/>
          <w:highlight w:val="none"/>
          <w:lang w:eastAsia="zh-CN"/>
        </w:rPr>
        <w:t>应当严格执行安全生产各项规定，建立健全安全生产管理制度，将环保设备设施安全作为企业安全管理的重要组成部分，加强环保设备设施相关岗位人员安全培训，加强环保设备设施相关岗位人员安全培训。严格落实涉环保设备设施新、改、扩建项目环保和安全“三同时”有关要求，委托有资质的设计单位进行正规设计。</w:t>
      </w:r>
    </w:p>
    <w:p w14:paraId="51C4A48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auto"/>
          <w:sz w:val="32"/>
          <w:szCs w:val="32"/>
        </w:rPr>
        <w:t>建设项目必须严格执行环境保护设施与主体工程同时设计、同时施工、同时投入使用的环境保护“三同时”制度。项目规划设计应同步落实防治环境污染和生态破坏措施设计，保证环境保护设施投入。环保设施建设必须纳入施工合同，保证环保设施建设进度和资金投入。</w:t>
      </w:r>
    </w:p>
    <w:p w14:paraId="5ADD44B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五、</w:t>
      </w:r>
      <w:r>
        <w:rPr>
          <w:rFonts w:hint="default" w:ascii="Times New Roman" w:hAnsi="Times New Roman" w:eastAsia="仿宋_GB2312" w:cs="Times New Roman"/>
          <w:color w:val="auto"/>
          <w:sz w:val="32"/>
          <w:szCs w:val="32"/>
        </w:rPr>
        <w:t>《报告表》经批准后，如项目的性质、规模、地点、采用的生产工艺或防治污染的措施发生重大变动的，应依法重新报批项目的环境影响评价文件。超过五年方才建设的，应依法报我局重新审核。</w:t>
      </w:r>
    </w:p>
    <w:p w14:paraId="7814FFB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auto"/>
          <w:sz w:val="32"/>
          <w:szCs w:val="32"/>
        </w:rPr>
        <w:t>国家对本项目应执行的环境标准作出修订或颁布新要求的，执行新标准和新要求。</w:t>
      </w:r>
    </w:p>
    <w:p w14:paraId="0C5DC66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auto"/>
          <w:sz w:val="32"/>
          <w:szCs w:val="32"/>
          <w:lang w:val="en-US" w:eastAsia="zh-CN"/>
        </w:rPr>
        <w:t>项目新增主要污染物排放指标：</w:t>
      </w:r>
      <w:r>
        <w:rPr>
          <w:rFonts w:hint="default" w:ascii="Times New Roman" w:hAnsi="Times New Roman" w:eastAsia="仿宋_GB2312" w:cs="Times New Roman"/>
          <w:color w:val="000000"/>
          <w:sz w:val="32"/>
          <w:szCs w:val="32"/>
          <w:lang w:val="en-US" w:eastAsia="zh-CN"/>
        </w:rPr>
        <w:t>挥发性有机物0.074吨/年。</w:t>
      </w:r>
    </w:p>
    <w:p w14:paraId="0B9904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auto"/>
          <w:sz w:val="32"/>
          <w:szCs w:val="32"/>
        </w:rPr>
        <w:t>项目投入生产或使用并产生实际排污行为之前，应按《固定污染源排污许可分类管理名录》申领排污许可证</w:t>
      </w:r>
      <w:r>
        <w:rPr>
          <w:rFonts w:hint="eastAsia" w:ascii="Times New Roman" w:hAnsi="Times New Roman" w:eastAsia="仿宋_GB2312" w:cs="Times New Roman"/>
          <w:color w:val="000000"/>
          <w:sz w:val="32"/>
          <w:szCs w:val="32"/>
        </w:rPr>
        <w:t>或排污登记</w:t>
      </w:r>
      <w:r>
        <w:rPr>
          <w:rFonts w:hint="default" w:ascii="Times New Roman" w:hAnsi="Times New Roman" w:eastAsia="仿宋_GB2312" w:cs="Times New Roman"/>
          <w:color w:val="auto"/>
          <w:sz w:val="32"/>
          <w:szCs w:val="32"/>
        </w:rPr>
        <w:t>。</w:t>
      </w:r>
    </w:p>
    <w:p w14:paraId="0EE302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九</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highlight w:val="none"/>
        </w:rPr>
        <w:t>项目建成后，应按照法定程序和要求及时开展建设项目竣工环境保护验收工作和验收信息报送工作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并依法依规公开相关信息</w:t>
      </w:r>
      <w:r>
        <w:rPr>
          <w:rFonts w:hint="default" w:ascii="Times New Roman" w:hAnsi="Times New Roman" w:eastAsia="仿宋_GB2312" w:cs="Times New Roman"/>
          <w:color w:val="auto"/>
          <w:sz w:val="32"/>
          <w:szCs w:val="32"/>
        </w:rPr>
        <w:t>。</w:t>
      </w:r>
    </w:p>
    <w:p w14:paraId="38CBFC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十</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auto"/>
          <w:sz w:val="32"/>
          <w:szCs w:val="32"/>
          <w:highlight w:val="none"/>
          <w:lang w:eastAsia="zh-CN"/>
        </w:rPr>
        <w:t>项目实施过程中应依法严格执行相关主管部门规定，取得法定许可后方可开工。</w:t>
      </w:r>
    </w:p>
    <w:p w14:paraId="4B78AA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十</w:t>
      </w: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请安徽省歙县经济开发区管委会落实好项目属地相关生态环境保护职责，</w:t>
      </w:r>
      <w:r>
        <w:rPr>
          <w:rFonts w:hint="default" w:ascii="Times New Roman" w:hAnsi="Times New Roman" w:eastAsia="仿宋_GB2312" w:cs="Times New Roman"/>
          <w:color w:val="auto"/>
          <w:sz w:val="32"/>
          <w:szCs w:val="32"/>
        </w:rPr>
        <w:t>请县生态环境保护综合行政执法大队做好该项目</w:t>
      </w:r>
      <w:r>
        <w:rPr>
          <w:rFonts w:hint="default" w:ascii="Times New Roman" w:hAnsi="Times New Roman" w:eastAsia="仿宋_GB2312" w:cs="Times New Roman"/>
          <w:color w:val="auto"/>
          <w:sz w:val="32"/>
          <w:szCs w:val="32"/>
          <w:lang w:eastAsia="zh-CN"/>
        </w:rPr>
        <w:t>环保“</w:t>
      </w:r>
      <w:r>
        <w:rPr>
          <w:rFonts w:hint="default" w:ascii="Times New Roman" w:hAnsi="Times New Roman" w:eastAsia="仿宋_GB2312" w:cs="Times New Roman"/>
          <w:color w:val="auto"/>
          <w:sz w:val="32"/>
          <w:szCs w:val="32"/>
          <w:lang w:val="en-US" w:eastAsia="zh-CN"/>
        </w:rPr>
        <w:t>三同时”</w:t>
      </w:r>
      <w:r>
        <w:rPr>
          <w:rFonts w:hint="default" w:ascii="Times New Roman" w:hAnsi="Times New Roman" w:eastAsia="仿宋_GB2312" w:cs="Times New Roman"/>
          <w:color w:val="auto"/>
          <w:sz w:val="32"/>
          <w:szCs w:val="32"/>
        </w:rPr>
        <w:t>的生态环境保护监督管理工作。</w:t>
      </w:r>
    </w:p>
    <w:p w14:paraId="00E635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597ABB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2026年2月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日</w:t>
      </w:r>
    </w:p>
    <w:p w14:paraId="06B6587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0319C1F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抄送：</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县经济开发区管委会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富堨镇人民政府、</w:t>
      </w:r>
      <w:r>
        <w:rPr>
          <w:rFonts w:hint="default" w:ascii="Times New Roman" w:hAnsi="Times New Roman" w:eastAsia="仿宋_GB2312" w:cs="Times New Roman"/>
          <w:color w:val="auto"/>
          <w:sz w:val="32"/>
          <w:szCs w:val="32"/>
          <w:lang w:val="en-US" w:eastAsia="zh-CN"/>
        </w:rPr>
        <w:t>歙县生态环境保护综合行政执法大队、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安徽众远环境科技有限公司</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embedRegular r:id="rId1" w:fontKey="{3AD75D49-83A3-4507-A442-49A6D375282A}"/>
  </w:font>
  <w:font w:name="方正仿宋_GB2312">
    <w:panose1 w:val="02000000000000000000"/>
    <w:charset w:val="86"/>
    <w:family w:val="auto"/>
    <w:pitch w:val="default"/>
    <w:sig w:usb0="A00002BF" w:usb1="184F6CFA" w:usb2="00000012" w:usb3="00000000" w:csb0="00040001" w:csb1="00000000"/>
    <w:embedRegular r:id="rId2" w:fontKey="{8E996116-6B52-4114-9AFD-D326F250900C}"/>
  </w:font>
  <w:font w:name="仿宋_GB2312">
    <w:panose1 w:val="02010609030101010101"/>
    <w:charset w:val="86"/>
    <w:family w:val="modern"/>
    <w:pitch w:val="default"/>
    <w:sig w:usb0="00000001" w:usb1="080E0000" w:usb2="00000000" w:usb3="00000000" w:csb0="00040000" w:csb1="00000000"/>
    <w:embedRegular r:id="rId3" w:fontKey="{7F58963F-E4C8-447A-9FA0-3FD144A45AA0}"/>
  </w:font>
  <w:font w:name="方正小标宋_GBK">
    <w:panose1 w:val="02000000000000000000"/>
    <w:charset w:val="86"/>
    <w:family w:val="auto"/>
    <w:pitch w:val="default"/>
    <w:sig w:usb0="A00002BF" w:usb1="38CF7CFA" w:usb2="00082016" w:usb3="00000000" w:csb0="00040001" w:csb1="00000000"/>
    <w:embedRegular r:id="rId4" w:fontKey="{DBFEC921-3D9D-436F-9378-E2131A708D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A0C4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EEAF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8EEAF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mY4ZDFlNGE5ZTgxOWU1OGVlYzAxNTM2ZjhiM2MifQ=="/>
    <w:docVar w:name="KSO_WPS_MARK_KEY" w:val="1906f192-e2c8-45c5-a427-cdae196db74e"/>
  </w:docVars>
  <w:rsids>
    <w:rsidRoot w:val="00000000"/>
    <w:rsid w:val="029C57D8"/>
    <w:rsid w:val="06190AED"/>
    <w:rsid w:val="11547F63"/>
    <w:rsid w:val="26EB25A4"/>
    <w:rsid w:val="2BBD43D2"/>
    <w:rsid w:val="304C2EA2"/>
    <w:rsid w:val="31224929"/>
    <w:rsid w:val="334037E5"/>
    <w:rsid w:val="3A722AEA"/>
    <w:rsid w:val="4B796600"/>
    <w:rsid w:val="552668B6"/>
    <w:rsid w:val="5A8447DB"/>
    <w:rsid w:val="62E9586D"/>
    <w:rsid w:val="6BAA09F7"/>
    <w:rsid w:val="70431C3D"/>
    <w:rsid w:val="713A123F"/>
    <w:rsid w:val="715A022E"/>
    <w:rsid w:val="71B664C6"/>
    <w:rsid w:val="76013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kern w:val="0"/>
      <w:sz w:val="24"/>
      <w:szCs w:val="20"/>
    </w:rPr>
  </w:style>
  <w:style w:type="paragraph" w:customStyle="1" w:styleId="3">
    <w:name w:val="附图图片"/>
    <w:basedOn w:val="1"/>
    <w:qFormat/>
    <w:uiPriority w:val="0"/>
    <w:pPr>
      <w:spacing w:before="100" w:beforeLines="100"/>
      <w:jc w:val="center"/>
    </w:pPr>
    <w:rPr>
      <w:rFonts w:eastAsia="楷体"/>
      <w:sz w:val="24"/>
    </w:rPr>
  </w:style>
  <w:style w:type="paragraph" w:styleId="4">
    <w:name w:val="index 5"/>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5">
    <w:name w:val="annotation text"/>
    <w:basedOn w:val="1"/>
    <w:qFormat/>
    <w:uiPriority w:val="0"/>
    <w:pPr>
      <w:jc w:val="left"/>
    </w:pPr>
  </w:style>
  <w:style w:type="paragraph" w:styleId="6">
    <w:name w:val="Body Text Indent"/>
    <w:basedOn w:val="1"/>
    <w:next w:val="7"/>
    <w:qFormat/>
    <w:uiPriority w:val="0"/>
    <w:pPr>
      <w:spacing w:after="120"/>
      <w:ind w:left="420" w:leftChars="200"/>
    </w:pPr>
    <w:rPr>
      <w:kern w:val="0"/>
      <w:sz w:val="24"/>
      <w:szCs w:val="20"/>
    </w:rPr>
  </w:style>
  <w:style w:type="paragraph" w:styleId="7">
    <w:name w:val="Body Text Indent 2"/>
    <w:basedOn w:val="1"/>
    <w:next w:val="1"/>
    <w:qFormat/>
    <w:uiPriority w:val="0"/>
    <w:pPr>
      <w:spacing w:after="120" w:afterLines="0" w:line="480" w:lineRule="auto"/>
      <w:ind w:left="420" w:leftChars="200"/>
    </w:pPr>
    <w:rPr>
      <w:rFonts w:eastAsia="宋体"/>
      <w:sz w:val="21"/>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e6748c24-65e7-4809-9642-06f42c220028</errorID>
      <errorWord>奶粉地</errorWord>
      <group>L1_Grammar</group>
      <groupName>语法问题</groupName>
      <ability>L2_Order</ability>
      <abilityName>语序不当</abilityName>
      <candidateList>
        <item>奶粉</item>
      </candidateList>
      <explain>句子可能没有遵循时空、逻辑顺序，或者介词、关联词等位置不当。</explain>
      <paraID> DD23D77</paraID>
      <start>140</start>
      <end>143</end>
      <status>ignored</status>
      <modifiedWord/>
      <trackRevisions>false</trackRevisions>
    </reviewItem>
    <reviewItem>
      <errorID>c6ff4f14-41e4-46ba-a49c-6af248c37ff6</errorID>
      <errorWord>项目的</errorWord>
      <group>L1_Word</group>
      <groupName>字词问题</groupName>
      <ability>L2_Typo</ability>
      <abilityName>字词错误</abilityName>
      <candidateList>
        <item>项目</item>
      </candidateList>
      <explain>〈名〉事物分成的门类：服务～｜体育～｜建设～。</explain>
      <paraID>58391496</paraID>
      <start>4</start>
      <end>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73aaf3-3e59-4528-be36-ba8f5ecdef34}">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2855</Words>
  <Characters>3110</Characters>
  <Lines>0</Lines>
  <Paragraphs>0</Paragraphs>
  <TotalTime>4</TotalTime>
  <ScaleCrop>false</ScaleCrop>
  <LinksUpToDate>false</LinksUpToDate>
  <CharactersWithSpaces>3117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2024-06-28T10:26:00Z</dcterms:created>
  <dc:creator>汪晓晖</dc:creator>
  <cp:lastModifiedBy>冬藏一隅</cp:lastModifiedBy>
  <cp:lastPrinted>2026-02-13T03:29:00Z</cp:lastPrinted>
  <dcterms:modified xsi:type="dcterms:W3CDTF">2026-02-13T03:30:15Z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284328A735DF48ACA72EA02E8E2B96AA_13</vt:lpwstr>
  </property>
  <property fmtid="{D5CDD505-2E9C-101B-9397-08002B2CF9AE}" pid="4" name="KSOTemplateDocerSaveRecord">
    <vt:lpwstr>eyJoZGlkIjoiNjgyZWRjNmEwZjgyZDE2MzIzMTE0NDZhMjE1ZTFlNDUiLCJ1c2VySWQiOiIzNjg3NzE5MzUifQ==</vt:lpwstr>
  </property>
</Properties>
</file>