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</w:pPr>
      <w:r>
        <w:rPr>
          <w:rFonts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  <w:t>歙科商经〔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  <w:t>2022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  <w:t>47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关于组织开展农村电商培训的通知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为贯彻落实市委关于乡村振兴人才能力素质提升的部署要求，切实提升乡村振兴人才队伍能力素质水平，充分发挥电子商务在农村产业发展和乡村振兴中的作用。现要求在每个省级电商示范镇、示范村开展一期农村电商培训，示范镇培训人员不少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50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人、示范村培训人员不少于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20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人。现将有关事项通知如下：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一、培训时间及地点</w:t>
      </w:r>
      <w:r>
        <w:rPr>
          <w:rFonts w:ascii="Times New Roman" w:hAnsi="Times New Roman" w:eastAsia="方正仿宋_GBK" w:cs="方正黑体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2022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8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月底前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地点：各示范镇、示范村根据情况自行确定。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二、培训对象及师资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乡村干部、电商从业人员、返乡大学生、农业种养专业户（合作社）、退伍军人、待业青年以及有意愿有能力的脱贫户等，授课讲师由各乡镇自行安排。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三、培训内容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333333"/>
          <w:spacing w:val="0"/>
          <w:sz w:val="32"/>
          <w:szCs w:val="18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1"/>
          <w:shd w:val="clear" w:fill="FFFFFF"/>
        </w:rPr>
        <w:t>通过进行电子商务知识普及、电商形势以及如何打造农产品等培训，提高领导干群电商意识，提升学员的电商创业能力。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歙县科技商务经济信息化局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right"/>
        <w:textAlignment w:val="auto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2022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7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20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1"/>
          <w:shd w:val="clear" w:fill="FFFFFF"/>
        </w:rPr>
        <w:t>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1"/>
          <w:shd w:val="clear" w:fill="FFFFFF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2IwMzc3ZmM0MjIwNTRkZGI3ZmZhYzhjYWIwMDQifQ=="/>
  </w:docVars>
  <w:rsids>
    <w:rsidRoot w:val="616078ED"/>
    <w:rsid w:val="6160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2025-12-23T03:15:00Z</dcterms:created>
  <dc:creator>迷失街角的女孩</dc:creator>
  <cp:lastModifiedBy>迷失街角的女孩</cp:lastModifiedBy>
  <dcterms:modified xsi:type="dcterms:W3CDTF">2025-12-23T03:20:46Z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99AE443D566E49828D83F7325C27713B_11</vt:lpwstr>
  </property>
</Properties>
</file>