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shd w:val="clear" w:color="auto" w:fill="FFFFFF"/>
        <w:spacing w:after="150" w:line="590" w:lineRule="exact"/>
        <w:ind w:firstLine="480"/>
        <w:jc w:val="center"/>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歙科商经〔2023〕74号</w:t>
      </w:r>
    </w:p>
    <w:p>
      <w:pPr>
        <w:shd w:val="clear" w:color="auto" w:fill="FFFFFF"/>
        <w:spacing w:after="150" w:line="590" w:lineRule="exact"/>
        <w:jc w:val="both"/>
        <w:rPr>
          <w:rFonts w:hint="eastAsia" w:ascii="方正仿宋_GBK" w:hAnsi="微软雅黑" w:eastAsia="方正仿宋_GBK" w:cs="宋体"/>
          <w:color w:val="333333"/>
          <w:kern w:val="0"/>
          <w:sz w:val="32"/>
          <w:szCs w:val="32"/>
          <w14:ligatures w14:val="none"/>
        </w:rPr>
      </w:pPr>
    </w:p>
    <w:p>
      <w:pPr>
        <w:shd w:val="clear" w:color="auto" w:fill="FFFFFF"/>
        <w:spacing w:line="590" w:lineRule="exact"/>
        <w:jc w:val="center"/>
        <w:rPr>
          <w:rFonts w:hint="eastAsia"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关于加强小型服装加工厂安全生产隐患排查治理工作的通知</w:t>
      </w:r>
    </w:p>
    <w:p>
      <w:pPr>
        <w:keepNext w:val="0"/>
        <w:keepLines w:val="0"/>
        <w:pageBreakBefore w:val="0"/>
        <w:widowControl/>
        <w:shd w:val="clear" w:color="auto" w:fill="FFFFFF"/>
        <w:kinsoku/>
        <w:overflowPunct/>
        <w:topLinePunct w:val="0"/>
        <w:autoSpaceDE/>
        <w:autoSpaceDN/>
        <w:bidi w:val="0"/>
        <w:adjustRightInd/>
        <w:snapToGrid/>
        <w:spacing w:line="590" w:lineRule="exact"/>
        <w:ind w:firstLine="880" w:firstLineChars="200"/>
        <w:jc w:val="center"/>
        <w:textAlignment w:val="auto"/>
        <w:rPr>
          <w:rFonts w:hint="eastAsia" w:ascii="Times New Roman" w:hAnsi="Times New Roman" w:eastAsia="方正仿宋_GBK" w:cs="宋体"/>
          <w:color w:val="333333"/>
          <w:kern w:val="0"/>
          <w:sz w:val="44"/>
          <w:szCs w:val="44"/>
          <w14:ligatures w14:val="none"/>
        </w:rPr>
      </w:pPr>
    </w:p>
    <w:p>
      <w:pPr>
        <w:keepNext w:val="0"/>
        <w:keepLines w:val="0"/>
        <w:pageBreakBefore w:val="0"/>
        <w:widowControl/>
        <w:kinsoku/>
        <w:overflowPunct/>
        <w:topLinePunct w:val="0"/>
        <w:autoSpaceDE/>
        <w:autoSpaceDN/>
        <w:bidi w:val="0"/>
        <w:adjustRightInd/>
        <w:snapToGrid/>
        <w:spacing w:line="590" w:lineRule="exac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各乡镇人民政府，开发区管委会:</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秋冬季是火灾事故易发、多发时期，全国范围内连续发生多起较大以上火灾事故。11月22日，县委主要领导带队检查了小型服装加工厂安全生产情况，并现场做出重要指示现就在小型服装加工领域落实安全生产法律法规和各级领导关于安全生产工作的重要论述、指示、批示精神，落实属地管理责任，防范火灾事故发生，通知如下。</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一、学习宣传安全发展理念</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安全生产是民生大事，事关经济社会发展大局，事关人民的安全感、获得感和幸福感。各地要牢固树立安全发展理念，要在干部职工、企业负责人和从业人员层面，通过集中轮训和发放宣传单等形式，广泛深入学习、宣传、贯彻习近平总书记关于安全生产的重要论述，解读《安全生产法》、《消防法》等法律法规，增强干部职工指导监管能力、企业职工防范风险和应急处置能力。</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二、完善安全生产责任制</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地要按“党政同责、一岗双责”、“谁主管谁负责、谁检查谁负责”的原则要求，以“事事有人管”为目标，在本单位、村组、社区和企业层面，建立、健全安全生产责任制，拧紧安全生产责任链条，切实做到安全生产责任到位、投入培训到位、基础管理到位、应急救援到位，为经济社会发展营造良好的安全环境。</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三、加强安全隐患排查整改</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1.检查设备设施的不安全状态。重点检查作业场所是否有逃生通道，电线是否穿管，灭火是否备足有效、易取易用，重点用电设备是否超负荷，是否存在“三合一”现象等。</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2.检查人的不安全行为。重点检查场所内是否设置明显禁火安全警示标志标识，是否存在吸烟动火行为，是否在通道或门口给电瓶车集中充电现象，是否存在私拉电线现象等。</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3.检查管理上的缺陷。是否建立落实安全生产检查整改制度、员工培训教育制度，电线和用电插座累积的飞絮是否安排人员定期清理，安全和用电设施是否安排人员检查维护所内是否场乱堆乱放妨碍通行等。</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四、规划建设服装加工集中区</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各地要立即组织开展辖区内小型服装加工厂的集中排查摸底，认真填写《小型服装加工厂摸底排查表》，并于 12月15日前报我局经济运行股(联系人:张虹，6525207)徽城镇等小型服装加工厂集中的乡镇要针对摸排情况，特别是存在“三合一”场所和应急逃生通道不符合要求等不易整改的重大隐患情况，规划建设一批小型服装加工产业园或集中区。</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咨询电话：6512022</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附件：小型服装加工厂摸底排查表.xlsx</w:t>
      </w: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2023年11月24日</w:t>
      </w:r>
      <w:r>
        <w:rPr>
          <w:rFonts w:hint="eastAsia" w:ascii="Times New Roman" w:hAnsi="Times New Roman" w:eastAsia="方正仿宋_GBK" w:cs="宋体"/>
          <w:color w:val="333333"/>
          <w:kern w:val="0"/>
          <w:sz w:val="32"/>
          <w:szCs w:val="32"/>
          <w:lang w:val="en-US" w:eastAsia="zh-CN"/>
          <w14:ligatures w14:val="none"/>
        </w:rPr>
        <w:t xml:space="preserve">   </w:t>
      </w:r>
    </w:p>
    <w:p>
      <w:pPr>
        <w:spacing w:line="590" w:lineRule="exact"/>
        <w:rPr>
          <w:rFonts w:hint="eastAsia" w:ascii="Times New Roman" w:hAnsi="Times New Roman" w:eastAsia="方正仿宋_GBK" w:cs="宋体"/>
          <w:color w:val="333333"/>
          <w:kern w:val="0"/>
          <w:sz w:val="32"/>
          <w:szCs w:val="32"/>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right"/>
        <w:rPr>
          <w:rFonts w:hint="eastAsia"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default" w:ascii="Times New Roman" w:hAnsi="Times New Roman" w:eastAsia="方正仿宋_GBK" w:cs="宋体"/>
          <w:color w:val="333333"/>
          <w:kern w:val="0"/>
          <w:sz w:val="32"/>
          <w:szCs w:val="32"/>
          <w:lang w:val="en-US" w:eastAsia="zh-CN"/>
          <w14:ligatures w14:val="none"/>
        </w:rPr>
      </w:pPr>
    </w:p>
    <w:p>
      <w:pPr>
        <w:wordWrap/>
        <w:spacing w:line="590" w:lineRule="exact"/>
        <w:jc w:val="both"/>
        <w:rPr>
          <w:rFonts w:hint="eastAsia"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lang w:val="en-US" w:eastAsia="zh-CN"/>
          <w14:ligatures w14:val="none"/>
        </w:rPr>
        <w:t>附件：</w:t>
      </w:r>
    </w:p>
    <w:p>
      <w:pPr>
        <w:wordWrap/>
        <w:spacing w:line="590" w:lineRule="exact"/>
        <w:jc w:val="center"/>
        <w:rPr>
          <w:rFonts w:hint="eastAsia" w:ascii="方正小标宋_GBK" w:hAnsi="方正小标宋_GBK" w:eastAsia="方正小标宋_GBK" w:cs="方正小标宋_GBK"/>
          <w:color w:val="333333"/>
          <w:kern w:val="0"/>
          <w:sz w:val="44"/>
          <w:szCs w:val="44"/>
          <w:lang w:val="en-US" w:eastAsia="zh-CN"/>
          <w14:ligatures w14:val="none"/>
        </w:rPr>
      </w:pPr>
      <w:r>
        <w:rPr>
          <w:rFonts w:hint="eastAsia" w:ascii="方正小标宋_GBK" w:hAnsi="方正小标宋_GBK" w:eastAsia="方正小标宋_GBK" w:cs="方正小标宋_GBK"/>
          <w:color w:val="333333"/>
          <w:kern w:val="0"/>
          <w:sz w:val="44"/>
          <w:szCs w:val="44"/>
          <w:lang w:val="en-US" w:eastAsia="zh-CN"/>
          <w14:ligatures w14:val="none"/>
        </w:rPr>
        <w:t>小型服装加工厂排查摸底表</w:t>
      </w:r>
    </w:p>
    <w:tbl>
      <w:tblPr>
        <w:tblStyle w:val="13"/>
        <w:tblpPr w:leftFromText="180" w:rightFromText="180" w:vertAnchor="text" w:horzAnchor="page" w:tblpX="700" w:tblpY="80"/>
        <w:tblOverlap w:val="never"/>
        <w:tblW w:w="10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8"/>
        <w:gridCol w:w="3493"/>
        <w:gridCol w:w="795"/>
        <w:gridCol w:w="4334"/>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518" w:type="dxa"/>
            <w:tcBorders>
              <w:top w:val="nil"/>
              <w:left w:val="nil"/>
              <w:bottom w:val="nil"/>
              <w:right w:val="nil"/>
            </w:tcBorders>
            <w:shd w:val="clear" w:color="auto" w:fill="auto"/>
            <w:noWrap/>
            <w:vAlign w:val="center"/>
          </w:tcPr>
          <w:p>
            <w:pPr>
              <w:wordWrap/>
              <w:spacing w:line="590" w:lineRule="exact"/>
              <w:jc w:val="both"/>
              <w:rPr>
                <w:rFonts w:hint="eastAsia" w:ascii="Times New Roman" w:hAnsi="Times New Roman" w:eastAsia="方正仿宋_GBK" w:cs="宋体"/>
                <w:color w:val="333333"/>
                <w:kern w:val="0"/>
                <w:sz w:val="32"/>
                <w:szCs w:val="32"/>
                <w:lang w:val="en-US" w:eastAsia="zh-CN"/>
                <w14:ligatures w14:val="none"/>
              </w:rPr>
            </w:pPr>
          </w:p>
        </w:tc>
        <w:tc>
          <w:tcPr>
            <w:tcW w:w="3493" w:type="dxa"/>
            <w:tcBorders>
              <w:top w:val="nil"/>
              <w:left w:val="nil"/>
              <w:bottom w:val="nil"/>
              <w:right w:val="nil"/>
            </w:tcBorders>
            <w:shd w:val="clear" w:color="auto" w:fill="auto"/>
            <w:noWrap/>
            <w:vAlign w:val="center"/>
          </w:tcPr>
          <w:p>
            <w:pPr>
              <w:wordWrap/>
              <w:spacing w:line="590" w:lineRule="exact"/>
              <w:jc w:val="left"/>
              <w:rPr>
                <w:rFonts w:hint="eastAsia"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lang w:val="en-US" w:eastAsia="zh-CN"/>
                <w14:ligatures w14:val="none"/>
              </w:rPr>
              <w:t>填报单位：</w:t>
            </w:r>
          </w:p>
        </w:tc>
        <w:tc>
          <w:tcPr>
            <w:tcW w:w="795" w:type="dxa"/>
            <w:tcBorders>
              <w:top w:val="nil"/>
              <w:left w:val="nil"/>
              <w:bottom w:val="nil"/>
              <w:right w:val="nil"/>
            </w:tcBorders>
            <w:shd w:val="clear" w:color="auto" w:fill="auto"/>
            <w:noWrap/>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nil"/>
              <w:left w:val="nil"/>
              <w:bottom w:val="nil"/>
              <w:right w:val="nil"/>
            </w:tcBorders>
            <w:shd w:val="clear" w:color="auto" w:fill="auto"/>
            <w:noWrap/>
            <w:vAlign w:val="center"/>
          </w:tcPr>
          <w:p>
            <w:pPr>
              <w:rPr>
                <w:rFonts w:hint="eastAsia" w:ascii="Times New Roman" w:hAnsi="Times New Roman" w:eastAsia="方正仿宋_GBK" w:cs="宋体"/>
                <w:i w:val="0"/>
                <w:iCs w:val="0"/>
                <w:color w:val="000000"/>
                <w:sz w:val="32"/>
                <w:szCs w:val="22"/>
                <w:u w:val="none"/>
              </w:rPr>
            </w:pPr>
          </w:p>
        </w:tc>
        <w:tc>
          <w:tcPr>
            <w:tcW w:w="818" w:type="dxa"/>
            <w:tcBorders>
              <w:top w:val="nil"/>
              <w:left w:val="nil"/>
              <w:bottom w:val="nil"/>
              <w:right w:val="nil"/>
            </w:tcBorders>
            <w:shd w:val="clear" w:color="auto" w:fill="auto"/>
            <w:noWrap/>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 xml:space="preserve">基本情况 </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服装加工厂名称</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场所地址</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负责人姓名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联系电话</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场所性质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从业人数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营业登记证号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登记性质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场所层数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总使用面积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其他情况</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设备设施情况</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是否设置住宿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是否设置厨房（用电、用气）</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有几个逃生出口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逃生出口是否规范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有几具灭火器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灭火器是否易取用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其他情况</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现场安全情况</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是否有警示标志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是否有吸烟动火</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门口中是否充电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是否乱堆放影响通行</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是否使用移动式插电板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电线及插座是否累积飞絮</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其他情况</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安全制度及落实情况</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制定相关制度情况</w:t>
            </w:r>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是否明确安全员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是否开展安全检查</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是否开展宣传培训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员工是否会使用灭火器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其他</w:t>
            </w:r>
            <w:bookmarkStart w:id="0" w:name="_GoBack"/>
            <w:bookmarkEnd w:id="0"/>
          </w:p>
        </w:tc>
        <w:tc>
          <w:tcPr>
            <w:tcW w:w="5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宋体"/>
                <w:i w:val="0"/>
                <w:iCs w:val="0"/>
                <w:color w:val="000000"/>
                <w:sz w:val="32"/>
                <w:szCs w:val="22"/>
                <w:u w:val="none"/>
              </w:rPr>
            </w:pPr>
            <w:r>
              <w:rPr>
                <w:rFonts w:hint="eastAsia" w:ascii="Times New Roman" w:hAnsi="Times New Roman" w:eastAsia="方正仿宋_GBK" w:cs="宋体"/>
                <w:i w:val="0"/>
                <w:iCs w:val="0"/>
                <w:color w:val="000000"/>
                <w:kern w:val="0"/>
                <w:sz w:val="32"/>
                <w:szCs w:val="22"/>
                <w:u w:val="none"/>
                <w:lang w:val="en-US" w:eastAsia="zh-CN" w:bidi="ar"/>
                <w14:ligatures w14:val="standardContextual"/>
              </w:rPr>
              <w:t>摸底排查人员签字</w:t>
            </w:r>
          </w:p>
        </w:tc>
        <w:tc>
          <w:tcPr>
            <w:tcW w:w="9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宋体"/>
                <w:i w:val="0"/>
                <w:iCs w:val="0"/>
                <w:color w:val="000000"/>
                <w:sz w:val="32"/>
                <w:szCs w:val="22"/>
                <w:u w:val="none"/>
              </w:rPr>
            </w:pPr>
          </w:p>
        </w:tc>
      </w:tr>
    </w:tbl>
    <w:p>
      <w:pPr>
        <w:wordWrap/>
        <w:spacing w:line="590" w:lineRule="exact"/>
        <w:jc w:val="center"/>
        <w:rPr>
          <w:rFonts w:hint="eastAsia" w:ascii="方正小标宋_GBK" w:hAnsi="方正小标宋_GBK" w:eastAsia="方正小标宋_GBK" w:cs="方正小标宋_GBK"/>
          <w:color w:val="333333"/>
          <w:kern w:val="0"/>
          <w:sz w:val="44"/>
          <w:szCs w:val="44"/>
          <w:lang w:val="en-US" w:eastAsia="zh-CN"/>
          <w14:ligatures w14:val="none"/>
        </w:rPr>
      </w:pPr>
    </w:p>
    <w:p>
      <w:pPr>
        <w:wordWrap/>
        <w:spacing w:line="590" w:lineRule="exact"/>
        <w:jc w:val="center"/>
        <w:rPr>
          <w:rFonts w:hint="eastAsia" w:ascii="方正小标宋_GBK" w:hAnsi="方正小标宋_GBK" w:eastAsia="方正小标宋_GBK" w:cs="方正小标宋_GBK"/>
          <w:color w:val="333333"/>
          <w:kern w:val="0"/>
          <w:sz w:val="44"/>
          <w:szCs w:val="44"/>
          <w:lang w:val="en-US" w:eastAsia="zh-CN"/>
          <w14:ligatures w14:val="none"/>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8F540A"/>
    <w:rsid w:val="001754B5"/>
    <w:rsid w:val="00700945"/>
    <w:rsid w:val="008F540A"/>
    <w:rsid w:val="00956F6E"/>
    <w:rsid w:val="00FC1785"/>
    <w:rsid w:val="20596E4D"/>
    <w:rsid w:val="479906CD"/>
    <w:rsid w:val="65CA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Words>
  <Characters>556</Characters>
  <Lines>4</Lines>
  <Paragraphs>1</Paragraphs>
  <TotalTime>4</TotalTime>
  <ScaleCrop>false</ScaleCrop>
  <LinksUpToDate>false</LinksUpToDate>
  <CharactersWithSpaces>652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2025-12-15T02:47:00Z</dcterms:created>
  <dc:creator>ahsxjyj@outlook.com</dc:creator>
  <cp:lastModifiedBy>迷失街角的女孩</cp:lastModifiedBy>
  <dcterms:modified xsi:type="dcterms:W3CDTF">2025-12-23T01:30:11Z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EEE815A2FA524831AA66C0DA9796B363_13</vt:lpwstr>
  </property>
</Properties>
</file>