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50" w:line="590" w:lineRule="exact"/>
        <w:ind w:firstLine="480"/>
        <w:jc w:val="center"/>
        <w:rPr>
          <w:rFonts w:ascii="方正仿宋_GBK" w:hAnsi="微软雅黑" w:eastAsia="方正仿宋_GBK" w:cs="宋体"/>
          <w:color w:val="333333"/>
          <w:kern w:val="0"/>
          <w:sz w:val="27"/>
          <w:szCs w:val="27"/>
          <w14:ligatures w14:val="none"/>
        </w:rPr>
      </w:pPr>
    </w:p>
    <w:p>
      <w:pPr>
        <w:shd w:val="clear" w:color="auto" w:fill="FFFFFF"/>
        <w:spacing w:after="150" w:line="590" w:lineRule="exact"/>
        <w:ind w:firstLine="480"/>
        <w:jc w:val="center"/>
        <w:rPr>
          <w:rFonts w:ascii="方正仿宋_GBK" w:hAnsi="微软雅黑" w:eastAsia="方正仿宋_GBK" w:cs="宋体"/>
          <w:color w:val="333333"/>
          <w:kern w:val="0"/>
          <w:sz w:val="27"/>
          <w:szCs w:val="27"/>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jc w:val="center"/>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歙科商经函〔2024〕2号</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jc w:val="center"/>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宋体"/>
          <w:color w:val="333333"/>
          <w:kern w:val="0"/>
          <w:sz w:val="44"/>
          <w:szCs w:val="44"/>
          <w14:ligatures w14:val="none"/>
        </w:rPr>
      </w:pPr>
      <w:r>
        <w:rPr>
          <w:rFonts w:hint="eastAsia" w:ascii="Times New Roman" w:hAnsi="Times New Roman" w:eastAsia="方正小标宋_GBK" w:cs="宋体"/>
          <w:color w:val="333333"/>
          <w:kern w:val="0"/>
          <w:sz w:val="44"/>
          <w:szCs w:val="44"/>
          <w14:ligatures w14:val="none"/>
        </w:rPr>
        <w:t>关于印发《县科商经信局冬春季安全生产和火灾防控工作方案》的通知</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880" w:firstLineChars="200"/>
        <w:jc w:val="center"/>
        <w:textAlignment w:val="auto"/>
        <w:rPr>
          <w:rFonts w:hint="eastAsia" w:ascii="Times New Roman" w:hAnsi="Times New Roman" w:eastAsia="方正小标宋_GBK" w:cs="宋体"/>
          <w:color w:val="333333"/>
          <w:kern w:val="0"/>
          <w:sz w:val="44"/>
          <w:szCs w:val="44"/>
          <w14:ligatures w14:val="none"/>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各有关企业、各股室：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为认真贯彻落实习近平总书记关于安全生产工作的批示指示精神和县消委关于冬春火灾防控工作部署要求，有效防范化解重大安全生产和消防安全风险，全面维护安全生产形势持续稳定，全力确保元旦、春节和“两会”期间的安全生产工作，决定从即日起至2024年3月底在局管行业、领域范围内集中开展冬春安全生产和火灾防控工作，特制定本工作方案。请认真贯彻落实。</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歙县科技商务经济信息化局    </w:t>
      </w:r>
    </w:p>
    <w:p>
      <w:pPr>
        <w:keepNext w:val="0"/>
        <w:keepLines w:val="0"/>
        <w:pageBreakBefore w:val="0"/>
        <w:widowControl/>
        <w:kinsoku/>
        <w:wordWrap/>
        <w:overflowPunct/>
        <w:topLinePunct w:val="0"/>
        <w:autoSpaceDE/>
        <w:autoSpaceDN/>
        <w:bidi w:val="0"/>
        <w:adjustRightInd/>
        <w:snapToGrid/>
        <w:spacing w:line="590" w:lineRule="exact"/>
        <w:jc w:val="righ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2024年1月19日        </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抄送：县消委办、安委办</w:t>
      </w: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小标宋_GBK" w:cs="方正小标宋_GBK"/>
          <w:color w:val="333333"/>
          <w:kern w:val="0"/>
          <w:sz w:val="44"/>
          <w:szCs w:val="44"/>
          <w14:ligatures w14:val="none"/>
        </w:rPr>
        <w:t>歙县科商经信局冬春季安全生产和火灾防控工作方案</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一、指导思想和工作目标</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认真学习领会习近平总书记关于安全生产和消防工作的重要论述，按照省委省政府主要领导“坚持全覆盖排查”、“健全隐患排查闭环运行机制，坚决把各类隐患消除在未发之时、成灾之前”等工作要求，紧紧围绕2024年春节、元宵节等重要节点以及“两会”等重大活动，抓实抓细冬春火灾防控工作，坚决遏制重特大火灾事故，有效防范亡人火灾事故，以新安全格局保障新发展格局。</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二、重点行业、领域</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小型服装加工厂、重点商贸企业、加油站点、非煤矿山企业、民爆物品经营企业、校外科技类培训机构。</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三、重点工作任务</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（一）整治日常管理机制不健全的问题</w:t>
      </w:r>
      <w:r>
        <w:rPr>
          <w:rFonts w:hint="eastAsia" w:ascii="Times New Roman" w:hAnsi="Times New Roman" w:eastAsia="方正仿宋_GBK" w:cs="宋体"/>
          <w:color w:val="333333"/>
          <w:kern w:val="0"/>
          <w:sz w:val="32"/>
          <w:szCs w:val="32"/>
          <w14:ligatures w14:val="none"/>
        </w:rPr>
        <w:t>。重点检查单位是否建立健全消防安全管理组织，是否落实消防安全管理，是否定期开展消防设施检测和维护保养，是否有效开展防火检查巡查，是否及时整改消除隐患。</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（二）整治违规使用易燃可燃材料装修的问题</w:t>
      </w:r>
      <w:r>
        <w:rPr>
          <w:rFonts w:hint="eastAsia" w:ascii="Times New Roman" w:hAnsi="Times New Roman" w:eastAsia="方正仿宋_GBK" w:cs="宋体"/>
          <w:color w:val="333333"/>
          <w:kern w:val="0"/>
          <w:sz w:val="32"/>
          <w:szCs w:val="32"/>
          <w14:ligatures w14:val="none"/>
        </w:rPr>
        <w:t>。人员密集场所是否使用聚氨酯泡沫、塑料仿真绿植等易燃可燃材料装修或者做隔热保温层。人员居住场所是否采用易燃夹心彩钢板搭建分隔。</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（三）整治消防生命通道不畅通的问题</w:t>
      </w:r>
      <w:r>
        <w:rPr>
          <w:rFonts w:hint="eastAsia" w:ascii="Times New Roman" w:hAnsi="Times New Roman" w:eastAsia="方正仿宋_GBK" w:cs="宋体"/>
          <w:color w:val="333333"/>
          <w:kern w:val="0"/>
          <w:sz w:val="32"/>
          <w:szCs w:val="32"/>
          <w14:ligatures w14:val="none"/>
        </w:rPr>
        <w:t>。疏散通道、安全出口数量是否不足或者被封闭、堵塞、占用。人员密集场所是否在门窗上设置栅栏、广告牌等影响逃生和灭火救援的障碍物。老旧小区是否完成消防车通道治理工作，消防车通道是否被私家车停放占用、设置障碍物。</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（四）整治岗位人员责任不落实的问题</w:t>
      </w:r>
      <w:r>
        <w:rPr>
          <w:rFonts w:hint="eastAsia" w:ascii="Times New Roman" w:hAnsi="Times New Roman" w:eastAsia="方正仿宋_GBK" w:cs="宋体"/>
          <w:color w:val="333333"/>
          <w:kern w:val="0"/>
          <w:sz w:val="32"/>
          <w:szCs w:val="32"/>
          <w14:ligatures w14:val="none"/>
        </w:rPr>
        <w:t>。单位是否依法明确消防安全责任人、管理人及其职责，消防控制室值班人员能否熟练操作设施设备，微型消防站队员能否及时有效处置初期火灾。</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（五）整治消防教育培训不深入的问题</w:t>
      </w:r>
      <w:r>
        <w:rPr>
          <w:rFonts w:hint="eastAsia" w:ascii="Times New Roman" w:hAnsi="Times New Roman" w:eastAsia="方正仿宋_GBK" w:cs="宋体"/>
          <w:color w:val="333333"/>
          <w:kern w:val="0"/>
          <w:sz w:val="32"/>
          <w:szCs w:val="32"/>
          <w14:ligatures w14:val="none"/>
        </w:rPr>
        <w:t>。单位是否制定灭火和应急疏散预案，是否定期开展消防培训和实战化演练，新员工上岗前是否经过岗前消防培训。单位员工是否了解本场所火灾危险性，是否会报警、会灭火、会组织人员疏散。</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四、工作要求</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（一）提高政治站位</w:t>
      </w:r>
      <w:r>
        <w:rPr>
          <w:rFonts w:hint="eastAsia" w:ascii="Times New Roman" w:hAnsi="Times New Roman" w:eastAsia="方正仿宋_GBK" w:cs="宋体"/>
          <w:color w:val="333333"/>
          <w:kern w:val="0"/>
          <w:sz w:val="32"/>
          <w:szCs w:val="32"/>
          <w14:ligatures w14:val="none"/>
        </w:rPr>
        <w:t>。按照安全生产工作“党政同责、一岗双责”和“管业务必须管安全”的原则要求，局领导和有关业务股室要切实将冬春火灾防控工作抓紧抓实，强化调度指挥，逐级压实责任，层层抓好组织实施，坚决确保行动成效，切实担负起防范化解重大安全风险的责任。</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（二）开展排查整改</w:t>
      </w:r>
      <w:r>
        <w:rPr>
          <w:rFonts w:hint="eastAsia" w:ascii="Times New Roman" w:hAnsi="Times New Roman" w:eastAsia="方正仿宋_GBK" w:cs="宋体"/>
          <w:color w:val="333333"/>
          <w:kern w:val="0"/>
          <w:sz w:val="32"/>
          <w:szCs w:val="32"/>
          <w14:ligatures w14:val="none"/>
        </w:rPr>
        <w:t>。要善于借势发力，积极联合属地政府，会同相关行业部门，统筹推进重大和区域性火灾风险隐患防范和整改，坚决确保局管行业领域安全生产和消防安全形势持续稳定。</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bookmarkStart w:id="0" w:name="_GoBack"/>
      <w:r>
        <w:rPr>
          <w:rFonts w:hint="eastAsia" w:ascii="方正楷体_GBK" w:hAnsi="方正楷体_GBK" w:eastAsia="方正楷体_GBK" w:cs="方正楷体_GBK"/>
          <w:color w:val="333333"/>
          <w:kern w:val="0"/>
          <w:sz w:val="32"/>
          <w:szCs w:val="32"/>
          <w14:ligatures w14:val="none"/>
        </w:rPr>
        <w:t>（三）严格落实管理责任</w:t>
      </w:r>
      <w:bookmarkEnd w:id="0"/>
      <w:r>
        <w:rPr>
          <w:rFonts w:hint="eastAsia" w:ascii="Times New Roman" w:hAnsi="Times New Roman" w:eastAsia="方正仿宋_GBK" w:cs="宋体"/>
          <w:color w:val="333333"/>
          <w:kern w:val="0"/>
          <w:sz w:val="32"/>
          <w:szCs w:val="32"/>
          <w14:ligatures w14:val="none"/>
        </w:rPr>
        <w:t>。各干部要严格落实安全生产管理职责，在冬春火灾防控期间，发生较大及以上和有影响的火灾事故，倒查责任，对存在工作不落实、履职不到位的，依法依规严肃追究相关人员的责任。</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县科商经信局冬春季安全生产和火灾防控责任范围区分表</w:t>
      </w:r>
    </w:p>
    <w:tbl>
      <w:tblPr>
        <w:tblStyle w:val="13"/>
        <w:tblW w:w="10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1"/>
        <w:gridCol w:w="2011"/>
        <w:gridCol w:w="1570"/>
        <w:gridCol w:w="1544"/>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领域</w:t>
            </w:r>
          </w:p>
        </w:tc>
        <w:tc>
          <w:tcPr>
            <w:tcW w:w="20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第一责任人</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分管领导</w:t>
            </w:r>
          </w:p>
        </w:tc>
        <w:tc>
          <w:tcPr>
            <w:tcW w:w="1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牵头领导</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责任股室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4"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小型服装加工厂、劳动密集型工业企业、科教培训机构</w:t>
            </w:r>
          </w:p>
        </w:tc>
        <w:tc>
          <w:tcPr>
            <w:tcW w:w="20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汪璟峰</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杨琪</w:t>
            </w:r>
          </w:p>
        </w:tc>
        <w:tc>
          <w:tcPr>
            <w:tcW w:w="1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胡志坚</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14:ligatures w14:val="standardContextual"/>
              </w:rPr>
              <w:t>运行股</w:t>
            </w:r>
            <w:r>
              <w:rPr>
                <w:rFonts w:hint="eastAsia" w:ascii="方正仿宋_GBK" w:hAnsi="方正仿宋_GBK" w:eastAsia="方正仿宋_GBK" w:cs="方正仿宋_GBK"/>
                <w:i w:val="0"/>
                <w:iCs w:val="0"/>
                <w:color w:val="auto"/>
                <w:kern w:val="0"/>
                <w:sz w:val="32"/>
                <w:szCs w:val="32"/>
                <w:u w:val="none"/>
                <w:lang w:val="en-US" w:eastAsia="zh-CN" w:bidi="ar"/>
                <w14:ligatures w14:val="standardContextual"/>
              </w:rPr>
              <w:br w:type="textWrapping"/>
            </w:r>
            <w:r>
              <w:rPr>
                <w:rFonts w:hint="eastAsia" w:ascii="方正仿宋_GBK" w:hAnsi="方正仿宋_GBK" w:eastAsia="方正仿宋_GBK" w:cs="方正仿宋_GBK"/>
                <w:i w:val="0"/>
                <w:iCs w:val="0"/>
                <w:color w:val="auto"/>
                <w:kern w:val="0"/>
                <w:sz w:val="32"/>
                <w:szCs w:val="32"/>
                <w:u w:val="none"/>
                <w:lang w:val="en-US" w:eastAsia="zh-CN" w:bidi="ar"/>
                <w14:ligatures w14:val="standardContextual"/>
              </w:rPr>
              <w:t>高新股</w:t>
            </w:r>
            <w:r>
              <w:rPr>
                <w:rFonts w:hint="eastAsia" w:ascii="方正仿宋_GBK" w:hAnsi="方正仿宋_GBK" w:eastAsia="方正仿宋_GBK" w:cs="方正仿宋_GBK"/>
                <w:i w:val="0"/>
                <w:iCs w:val="0"/>
                <w:color w:val="auto"/>
                <w:kern w:val="0"/>
                <w:sz w:val="32"/>
                <w:szCs w:val="32"/>
                <w:u w:val="none"/>
                <w:lang w:val="en-US" w:eastAsia="zh-CN" w:bidi="ar"/>
                <w14:ligatures w14:val="standardContextual"/>
              </w:rPr>
              <w:br w:type="textWrapping"/>
            </w:r>
            <w:r>
              <w:rPr>
                <w:rFonts w:hint="eastAsia" w:ascii="方正仿宋_GBK" w:hAnsi="方正仿宋_GBK" w:eastAsia="方正仿宋_GBK" w:cs="方正仿宋_GBK"/>
                <w:i w:val="0"/>
                <w:iCs w:val="0"/>
                <w:color w:val="auto"/>
                <w:kern w:val="0"/>
                <w:sz w:val="32"/>
                <w:szCs w:val="32"/>
                <w:u w:val="none"/>
                <w:lang w:val="en-US" w:eastAsia="zh-CN" w:bidi="ar"/>
                <w14:ligatures w14:val="standardContextual"/>
              </w:rPr>
              <w:t>规划股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1"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Style w:val="35"/>
                <w:rFonts w:hint="eastAsia" w:ascii="方正仿宋_GBK" w:hAnsi="方正仿宋_GBK" w:eastAsia="方正仿宋_GBK" w:cs="方正仿宋_GBK"/>
                <w:color w:val="auto"/>
                <w:sz w:val="32"/>
                <w:szCs w:val="32"/>
                <w:lang w:val="en-US" w:eastAsia="zh-CN" w:bidi="ar"/>
                <w14:ligatures w14:val="standardContextual"/>
              </w:rPr>
              <w:t>商贸流通行业、重点商场超市、加油站点、餐饮燃气</w:t>
            </w: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K" w:hAnsi="方正仿宋_GBK" w:eastAsia="方正仿宋_GBK" w:cs="方正仿宋_GBK"/>
                <w:i w:val="0"/>
                <w:iCs w:val="0"/>
                <w:color w:val="auto"/>
                <w:sz w:val="32"/>
                <w:szCs w:val="3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K" w:hAnsi="方正仿宋_GBK" w:eastAsia="方正仿宋_GBK" w:cs="方正仿宋_GBK"/>
                <w:i w:val="0"/>
                <w:iCs w:val="0"/>
                <w:color w:val="auto"/>
                <w:sz w:val="32"/>
                <w:szCs w:val="3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5"/>
                <w:rFonts w:hint="eastAsia" w:ascii="方正仿宋_GBK" w:hAnsi="方正仿宋_GBK" w:eastAsia="方正仿宋_GBK" w:cs="方正仿宋_GBK"/>
                <w:color w:val="auto"/>
                <w:sz w:val="32"/>
                <w:szCs w:val="32"/>
                <w:lang w:val="en-US" w:eastAsia="zh-CN" w:bidi="ar"/>
                <w14:ligatures w14:val="standardContextual"/>
              </w:rPr>
              <w:t xml:space="preserve">虞  </w:t>
            </w:r>
            <w:r>
              <w:rPr>
                <w:rStyle w:val="34"/>
                <w:rFonts w:hint="eastAsia" w:ascii="方正仿宋_GBK" w:hAnsi="方正仿宋_GBK" w:eastAsia="方正仿宋_GBK" w:cs="方正仿宋_GBK"/>
                <w:color w:val="auto"/>
                <w:sz w:val="32"/>
                <w:szCs w:val="32"/>
                <w:lang w:val="en-US" w:eastAsia="zh-CN" w:bidi="ar"/>
                <w14:ligatures w14:val="standardContextual"/>
              </w:rPr>
              <w:t>萍</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Fonts w:hint="eastAsia" w:ascii="方正仿宋_GBK" w:hAnsi="方正仿宋_GBK" w:eastAsia="方正仿宋_GBK" w:cs="方正仿宋_GBK"/>
                <w:i w:val="0"/>
                <w:iCs w:val="0"/>
                <w:color w:val="auto"/>
                <w:kern w:val="0"/>
                <w:sz w:val="32"/>
                <w:szCs w:val="32"/>
                <w:u w:val="none"/>
                <w:lang w:val="en-US" w:eastAsia="zh-CN" w:bidi="ar"/>
                <w14:ligatures w14:val="standardContextual"/>
              </w:rPr>
              <w:t>内贸股</w:t>
            </w:r>
            <w:r>
              <w:rPr>
                <w:rFonts w:hint="eastAsia" w:ascii="方正仿宋_GBK" w:hAnsi="方正仿宋_GBK" w:eastAsia="方正仿宋_GBK" w:cs="方正仿宋_GBK"/>
                <w:i w:val="0"/>
                <w:iCs w:val="0"/>
                <w:color w:val="auto"/>
                <w:kern w:val="0"/>
                <w:sz w:val="32"/>
                <w:szCs w:val="32"/>
                <w:u w:val="none"/>
                <w:lang w:val="en-US" w:eastAsia="zh-CN" w:bidi="ar"/>
                <w14:ligatures w14:val="standardContextual"/>
              </w:rPr>
              <w:br w:type="textWrapping"/>
            </w:r>
            <w:r>
              <w:rPr>
                <w:rFonts w:hint="eastAsia" w:ascii="方正仿宋_GBK" w:hAnsi="方正仿宋_GBK" w:eastAsia="方正仿宋_GBK" w:cs="方正仿宋_GBK"/>
                <w:i w:val="0"/>
                <w:iCs w:val="0"/>
                <w:color w:val="auto"/>
                <w:kern w:val="0"/>
                <w:sz w:val="32"/>
                <w:szCs w:val="32"/>
                <w:u w:val="none"/>
                <w:lang w:val="en-US" w:eastAsia="zh-CN" w:bidi="ar"/>
                <w14:ligatures w14:val="standardContextual"/>
              </w:rPr>
              <w:t>外贸股</w:t>
            </w:r>
            <w:r>
              <w:rPr>
                <w:rFonts w:hint="eastAsia" w:ascii="方正仿宋_GBK" w:hAnsi="方正仿宋_GBK" w:eastAsia="方正仿宋_GBK" w:cs="方正仿宋_GBK"/>
                <w:i w:val="0"/>
                <w:iCs w:val="0"/>
                <w:color w:val="auto"/>
                <w:kern w:val="0"/>
                <w:sz w:val="32"/>
                <w:szCs w:val="32"/>
                <w:u w:val="none"/>
                <w:lang w:val="en-US" w:eastAsia="zh-CN" w:bidi="ar"/>
                <w14:ligatures w14:val="standardContextual"/>
              </w:rPr>
              <w:br w:type="textWrapping"/>
            </w:r>
            <w:r>
              <w:rPr>
                <w:rFonts w:hint="eastAsia" w:ascii="方正仿宋_GBK" w:hAnsi="方正仿宋_GBK" w:eastAsia="方正仿宋_GBK" w:cs="方正仿宋_GBK"/>
                <w:i w:val="0"/>
                <w:iCs w:val="0"/>
                <w:color w:val="auto"/>
                <w:kern w:val="0"/>
                <w:sz w:val="32"/>
                <w:szCs w:val="32"/>
                <w:u w:val="none"/>
                <w:lang w:val="en-US" w:eastAsia="zh-CN" w:bidi="ar"/>
                <w14:ligatures w14:val="standardContextual"/>
              </w:rPr>
              <w:t>农社股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3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民爆物品经营企业，非煤矿山企业</w:t>
            </w: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K" w:hAnsi="方正仿宋_GBK" w:eastAsia="方正仿宋_GBK" w:cs="方正仿宋_GBK"/>
                <w:i w:val="0"/>
                <w:iCs w:val="0"/>
                <w:color w:val="auto"/>
                <w:sz w:val="32"/>
                <w:szCs w:val="32"/>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方正仿宋_GBK" w:hAnsi="方正仿宋_GBK" w:eastAsia="方正仿宋_GBK" w:cs="方正仿宋_GBK"/>
                <w:i w:val="0"/>
                <w:iCs w:val="0"/>
                <w:color w:val="auto"/>
                <w:sz w:val="32"/>
                <w:szCs w:val="3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杨　琪</w:t>
            </w:r>
          </w:p>
        </w:tc>
        <w:tc>
          <w:tcPr>
            <w:tcW w:w="2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32"/>
                <w:szCs w:val="32"/>
                <w:u w:val="none"/>
              </w:rPr>
            </w:pPr>
            <w:r>
              <w:rPr>
                <w:rStyle w:val="34"/>
                <w:rFonts w:hint="eastAsia" w:ascii="方正仿宋_GBK" w:hAnsi="方正仿宋_GBK" w:eastAsia="方正仿宋_GBK" w:cs="方正仿宋_GBK"/>
                <w:color w:val="auto"/>
                <w:sz w:val="32"/>
                <w:szCs w:val="32"/>
                <w:lang w:val="en-US" w:eastAsia="zh-CN" w:bidi="ar"/>
                <w14:ligatures w14:val="standardContextual"/>
              </w:rPr>
              <w:t>资源股</w:t>
            </w:r>
          </w:p>
        </w:tc>
      </w:tr>
    </w:tbl>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lang w:val="en-US" w:eastAsia="zh-CN"/>
          <w14:ligatures w14:val="none"/>
        </w:rPr>
      </w:pPr>
      <w:r>
        <w:rPr>
          <w:rFonts w:hint="eastAsia" w:ascii="Times New Roman" w:hAnsi="Times New Roman" w:eastAsia="方正仿宋_GBK" w:cs="宋体"/>
          <w:color w:val="333333"/>
          <w:kern w:val="0"/>
          <w:sz w:val="32"/>
          <w:szCs w:val="32"/>
          <w14:ligatures w14:val="none"/>
        </w:rPr>
        <w:t>咨询电话：0559-6512022，咨询单位：歙县科技商务信息化局，办公时间：工作日上午8：00—12:00，下午14：30—17：30。</w:t>
      </w:r>
    </w:p>
    <w:p>
      <w:pPr>
        <w:wordWrap/>
        <w:spacing w:line="590" w:lineRule="exact"/>
        <w:jc w:val="right"/>
        <w:rPr>
          <w:rFonts w:hint="default" w:ascii="方正仿宋_GBK" w:hAnsi="微软雅黑" w:eastAsia="方正仿宋_GBK" w:cs="宋体"/>
          <w:color w:val="333333"/>
          <w:kern w:val="0"/>
          <w:sz w:val="32"/>
          <w:szCs w:val="32"/>
          <w:lang w:val="en-US" w:eastAsia="zh-CN"/>
          <w14:ligatures w14:val="none"/>
        </w:rPr>
      </w:pP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IwMzc3ZmM0MjIwNTRkZGI3ZmZhYzhjYWIwMDQifQ=="/>
  </w:docVars>
  <w:rsids>
    <w:rsidRoot w:val="008F540A"/>
    <w:rsid w:val="001754B5"/>
    <w:rsid w:val="00700945"/>
    <w:rsid w:val="008F540A"/>
    <w:rsid w:val="00956F6E"/>
    <w:rsid w:val="00FC1785"/>
    <w:rsid w:val="0AEA2190"/>
    <w:rsid w:val="20596E4D"/>
    <w:rsid w:val="56033AE2"/>
    <w:rsid w:val="7FBD1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font11"/>
    <w:basedOn w:val="15"/>
    <w:uiPriority w:val="0"/>
    <w:rPr>
      <w:rFonts w:hint="eastAsia" w:ascii="方正仿宋_GBK" w:hAnsi="方正仿宋_GBK" w:eastAsia="方正仿宋_GBK" w:cs="方正仿宋_GBK"/>
      <w:color w:val="000000"/>
      <w:sz w:val="31"/>
      <w:szCs w:val="31"/>
      <w:u w:val="none"/>
    </w:rPr>
  </w:style>
  <w:style w:type="character" w:customStyle="1" w:styleId="35">
    <w:name w:val="font21"/>
    <w:basedOn w:val="15"/>
    <w:uiPriority w:val="0"/>
    <w:rPr>
      <w:rFonts w:hint="eastAsia" w:ascii="方正仿宋_GBK" w:hAnsi="方正仿宋_GBK" w:eastAsia="方正仿宋_GBK" w:cs="方正仿宋_GBK"/>
      <w:color w:val="A49D9D"/>
      <w:sz w:val="31"/>
      <w:szCs w:val="3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Words>
  <Characters>556</Characters>
  <Lines>4</Lines>
  <Paragraphs>1</Paragraphs>
  <TotalTime>21</TotalTime>
  <ScaleCrop>false</ScaleCrop>
  <LinksUpToDate>false</LinksUpToDate>
  <CharactersWithSpaces>652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2025-12-15T02:47:00Z</dcterms:created>
  <dc:creator>ahsxjyj@outlook.com</dc:creator>
  <cp:lastModifiedBy>迷失街角的女孩</cp:lastModifiedBy>
  <dcterms:modified xsi:type="dcterms:W3CDTF">2025-12-23T01:10:52Z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FF93BD4AF87C41318E34B81F90C6CC77_13</vt:lpwstr>
  </property>
</Properties>
</file>