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before="0" w:after="0" w:line="560" w:lineRule="exact"/>
        <w:outlineLvl w:val="9"/>
        <w:rPr>
          <w:rFonts w:hAnsi="宋体"/>
          <w:color w:val="000000"/>
        </w:rPr>
      </w:pPr>
    </w:p>
    <w:p>
      <w:pPr>
        <w:pStyle w:val="8"/>
        <w:snapToGrid w:val="0"/>
        <w:spacing w:before="0" w:after="0" w:line="560" w:lineRule="exact"/>
        <w:outlineLvl w:val="9"/>
        <w:rPr>
          <w:rFonts w:hAnsi="宋体"/>
          <w:color w:val="000000"/>
        </w:rPr>
      </w:pPr>
    </w:p>
    <w:p>
      <w:pPr>
        <w:pStyle w:val="8"/>
        <w:snapToGrid w:val="0"/>
        <w:spacing w:before="0" w:after="0" w:line="560" w:lineRule="exact"/>
        <w:outlineLvl w:val="9"/>
        <w:rPr>
          <w:rFonts w:hAnsi="宋体"/>
          <w:color w:val="000000"/>
        </w:rPr>
      </w:pPr>
    </w:p>
    <w:p>
      <w:pPr>
        <w:pStyle w:val="8"/>
        <w:snapToGrid w:val="0"/>
        <w:spacing w:before="0" w:after="0" w:line="560" w:lineRule="exact"/>
        <w:outlineLvl w:val="9"/>
        <w:rPr>
          <w:rFonts w:hAnsi="宋体"/>
          <w:color w:val="000000"/>
        </w:rPr>
      </w:pPr>
    </w:p>
    <w:p>
      <w:pPr>
        <w:spacing w:line="560" w:lineRule="exact"/>
        <w:jc w:val="center"/>
        <w:rPr>
          <w:rFonts w:hint="eastAsia" w:eastAsia="方正小标宋简体"/>
          <w:sz w:val="44"/>
          <w:szCs w:val="44"/>
          <w:lang w:val="en-US" w:eastAsia="zh-CN"/>
        </w:rPr>
      </w:pPr>
      <w:r>
        <w:rPr>
          <w:rFonts w:hint="eastAsia" w:ascii="方正小标宋简体" w:hAnsi="宋体" w:eastAsia="方正小标宋简体" w:cs="宋体"/>
          <w:kern w:val="0"/>
          <w:sz w:val="44"/>
          <w:szCs w:val="44"/>
        </w:rPr>
        <w:t>三阳镇</w:t>
      </w:r>
      <w:r>
        <w:rPr>
          <w:rFonts w:hint="eastAsia" w:ascii="方正小标宋简体" w:hAnsi="宋体" w:eastAsia="方正小标宋简体" w:cs="宋体"/>
          <w:kern w:val="0"/>
          <w:sz w:val="44"/>
          <w:szCs w:val="44"/>
          <w:lang w:val="en-US" w:eastAsia="zh-CN"/>
        </w:rPr>
        <w:t>2023年度</w:t>
      </w:r>
      <w:r>
        <w:rPr>
          <w:rFonts w:hint="eastAsia" w:ascii="方正小标宋简体" w:hAnsi="宋体" w:eastAsia="方正小标宋简体" w:cs="宋体"/>
          <w:kern w:val="0"/>
          <w:sz w:val="44"/>
          <w:szCs w:val="44"/>
        </w:rPr>
        <w:t>绩效自评</w:t>
      </w:r>
      <w:r>
        <w:rPr>
          <w:rFonts w:hint="eastAsia" w:ascii="方正小标宋简体" w:hAnsi="宋体" w:eastAsia="方正小标宋简体" w:cs="宋体"/>
          <w:kern w:val="0"/>
          <w:sz w:val="44"/>
          <w:szCs w:val="44"/>
          <w:lang w:val="en-US" w:eastAsia="zh-CN"/>
        </w:rPr>
        <w:t>报告</w:t>
      </w:r>
    </w:p>
    <w:p>
      <w:pPr>
        <w:spacing w:line="560" w:lineRule="exact"/>
        <w:rPr>
          <w:rFonts w:ascii="黑体" w:hAnsi="黑体" w:eastAsia="黑体"/>
          <w:kern w:val="0"/>
          <w:sz w:val="44"/>
          <w:szCs w:val="44"/>
        </w:rPr>
      </w:pP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为切实做好2023年度部门整体支出绩效自评工作，提高财政资金使用效益，根据《歙县财政局关于开展2023年度县级预算支出绩效单位自评和部门评价工作的通知》（财监</w:t>
      </w:r>
      <w:r>
        <w:rPr>
          <w:rFonts w:hint="eastAsia" w:ascii="微软雅黑" w:hAnsi="微软雅黑" w:eastAsia="微软雅黑" w:cs="微软雅黑"/>
          <w:kern w:val="0"/>
          <w:sz w:val="32"/>
          <w:szCs w:val="32"/>
          <w:lang w:eastAsia="zh-CN"/>
        </w:rPr>
        <w:t>〔</w:t>
      </w:r>
      <w:r>
        <w:rPr>
          <w:rFonts w:hint="eastAsia" w:ascii="仿宋_GB2312" w:hAnsi="仿宋_GB2312" w:cs="仿宋_GB2312"/>
          <w:kern w:val="0"/>
          <w:sz w:val="32"/>
          <w:szCs w:val="32"/>
        </w:rPr>
        <w:t>2024</w:t>
      </w:r>
      <w:r>
        <w:rPr>
          <w:rFonts w:hint="eastAsia" w:ascii="微软雅黑" w:hAnsi="微软雅黑" w:eastAsia="微软雅黑" w:cs="微软雅黑"/>
          <w:kern w:val="0"/>
          <w:sz w:val="32"/>
          <w:szCs w:val="32"/>
          <w:lang w:eastAsia="zh-CN"/>
        </w:rPr>
        <w:t>〕</w:t>
      </w:r>
      <w:r>
        <w:rPr>
          <w:rFonts w:hint="eastAsia" w:ascii="仿宋_GB2312" w:hAnsi="仿宋_GB2312" w:cs="仿宋_GB2312"/>
          <w:kern w:val="0"/>
          <w:sz w:val="32"/>
          <w:szCs w:val="32"/>
        </w:rPr>
        <w:t>50号）和《歙县项目支出绩效财政评价和部门评价操作规程》（财预</w:t>
      </w:r>
      <w:r>
        <w:rPr>
          <w:rFonts w:hint="eastAsia" w:ascii="微软雅黑" w:hAnsi="微软雅黑" w:eastAsia="微软雅黑" w:cs="微软雅黑"/>
          <w:kern w:val="0"/>
          <w:sz w:val="32"/>
          <w:szCs w:val="32"/>
          <w:lang w:eastAsia="zh-CN"/>
        </w:rPr>
        <w:t>〔</w:t>
      </w:r>
      <w:r>
        <w:rPr>
          <w:rFonts w:hint="eastAsia" w:ascii="仿宋_GB2312" w:hAnsi="仿宋_GB2312" w:cs="仿宋_GB2312"/>
          <w:kern w:val="0"/>
          <w:sz w:val="32"/>
          <w:szCs w:val="32"/>
        </w:rPr>
        <w:t>2021</w:t>
      </w:r>
      <w:r>
        <w:rPr>
          <w:rFonts w:hint="eastAsia" w:ascii="微软雅黑" w:hAnsi="微软雅黑" w:eastAsia="微软雅黑" w:cs="微软雅黑"/>
          <w:kern w:val="0"/>
          <w:sz w:val="32"/>
          <w:szCs w:val="32"/>
          <w:lang w:eastAsia="zh-CN"/>
        </w:rPr>
        <w:t>〕</w:t>
      </w:r>
      <w:r>
        <w:rPr>
          <w:rFonts w:hint="eastAsia" w:ascii="仿宋_GB2312" w:hAnsi="仿宋_GB2312" w:cs="仿宋_GB2312"/>
          <w:kern w:val="0"/>
          <w:sz w:val="32"/>
          <w:szCs w:val="32"/>
        </w:rPr>
        <w:t>67号）文件精神，我镇结合实际，组织</w:t>
      </w:r>
      <w:r>
        <w:rPr>
          <w:rFonts w:hint="eastAsia" w:ascii="仿宋_GB2312" w:hAnsi="仿宋_GB2312" w:cs="仿宋_GB2312"/>
          <w:kern w:val="0"/>
          <w:sz w:val="32"/>
          <w:szCs w:val="32"/>
          <w:lang w:val="en-US" w:eastAsia="zh-CN"/>
        </w:rPr>
        <w:t>人员有序</w:t>
      </w:r>
      <w:r>
        <w:rPr>
          <w:rFonts w:hint="eastAsia" w:ascii="仿宋_GB2312" w:hAnsi="仿宋_GB2312" w:cs="仿宋_GB2312"/>
          <w:kern w:val="0"/>
          <w:sz w:val="32"/>
          <w:szCs w:val="32"/>
        </w:rPr>
        <w:t>开展绩效评价工作</w:t>
      </w: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rPr>
        <w:t>通过定量分析和定性分析相结合的方法，从预算配置、履职效益、预算管理、职责履行、预算执行情况和各部门一般性支出、会议支出、项目支出、办公经费支出以及厉行节约保障措施等方面进行了综合评价。现将绩效自评情况报告如下：</w:t>
      </w:r>
    </w:p>
    <w:p>
      <w:pPr>
        <w:keepNext w:val="0"/>
        <w:keepLines w:val="0"/>
        <w:pageBreakBefore w:val="0"/>
        <w:widowControl/>
        <w:kinsoku/>
        <w:wordWrap/>
        <w:overflowPunct/>
        <w:topLinePunct w:val="0"/>
        <w:bidi w:val="0"/>
        <w:adjustRightInd/>
        <w:spacing w:line="560" w:lineRule="exact"/>
        <w:ind w:firstLine="600"/>
        <w:textAlignment w:val="auto"/>
        <w:rPr>
          <w:rFonts w:ascii="黑体" w:hAnsi="仿宋" w:eastAsia="黑体" w:cs="宋体"/>
          <w:kern w:val="0"/>
          <w:sz w:val="32"/>
          <w:szCs w:val="32"/>
        </w:rPr>
      </w:pPr>
      <w:r>
        <w:rPr>
          <w:rFonts w:hint="eastAsia" w:ascii="黑体" w:hAnsi="仿宋" w:eastAsia="黑体" w:cs="宋体"/>
          <w:kern w:val="0"/>
          <w:sz w:val="32"/>
          <w:szCs w:val="32"/>
        </w:rPr>
        <w:t>一、自评工作开展情况</w:t>
      </w:r>
    </w:p>
    <w:p>
      <w:pPr>
        <w:keepNext w:val="0"/>
        <w:keepLines w:val="0"/>
        <w:pageBreakBefore w:val="0"/>
        <w:widowControl/>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本次自评，我</w:t>
      </w:r>
      <w:r>
        <w:rPr>
          <w:rFonts w:hint="eastAsia" w:ascii="仿宋_GB2312" w:hAnsi="仿宋_GB2312" w:cs="仿宋_GB2312"/>
          <w:kern w:val="0"/>
          <w:sz w:val="32"/>
          <w:szCs w:val="32"/>
          <w:lang w:val="en-US" w:eastAsia="zh-CN"/>
        </w:rPr>
        <w:t>镇</w:t>
      </w:r>
      <w:r>
        <w:rPr>
          <w:rFonts w:hint="eastAsia" w:ascii="仿宋_GB2312" w:hAnsi="仿宋_GB2312" w:cs="仿宋_GB2312"/>
          <w:kern w:val="0"/>
          <w:sz w:val="32"/>
          <w:szCs w:val="32"/>
        </w:rPr>
        <w:t>财政所设立了专门的预算绩效管理小组，负责预算绩效工作，就自评项目的年度预算执行情况进行系统性、全面性自评，深入开展财政支出绩效评价，在此基础上</w:t>
      </w:r>
      <w:r>
        <w:rPr>
          <w:rFonts w:hint="eastAsia" w:ascii="仿宋_GB2312" w:hAnsi="仿宋_GB2312" w:cs="仿宋_GB2312"/>
          <w:kern w:val="0"/>
          <w:sz w:val="32"/>
          <w:szCs w:val="32"/>
          <w:lang w:val="en-US" w:eastAsia="zh-CN"/>
        </w:rPr>
        <w:t>得</w:t>
      </w:r>
      <w:r>
        <w:rPr>
          <w:rFonts w:hint="eastAsia" w:ascii="仿宋_GB2312" w:hAnsi="仿宋_GB2312" w:cs="仿宋_GB2312"/>
          <w:kern w:val="0"/>
          <w:sz w:val="32"/>
          <w:szCs w:val="32"/>
        </w:rPr>
        <w:t>出评价分数，形成自评报告。我镇2023年开展</w:t>
      </w:r>
      <w:r>
        <w:rPr>
          <w:rFonts w:hint="eastAsia" w:ascii="仿宋_GB2312" w:hAnsi="仿宋_GB2312" w:cs="仿宋_GB2312"/>
          <w:kern w:val="0"/>
          <w:sz w:val="32"/>
          <w:szCs w:val="32"/>
          <w:lang w:val="en-US" w:eastAsia="zh-CN"/>
        </w:rPr>
        <w:t>绩效</w:t>
      </w:r>
      <w:r>
        <w:rPr>
          <w:rFonts w:hint="eastAsia" w:ascii="仿宋_GB2312" w:hAnsi="仿宋_GB2312" w:cs="仿宋_GB2312"/>
          <w:kern w:val="0"/>
          <w:sz w:val="32"/>
          <w:szCs w:val="32"/>
        </w:rPr>
        <w:t>自评的项目共有16个，分别为：村级补助资金、征兵经费、文明创建、三阳镇叶硒庄园老年公寓适老化改造、湖田山公司项目代建费用、三阳镇购买自规局出让土地价款费用、农村“一事一议”奖补、三阳镇总部经济发展引导专项资金、三阳镇总部经济发展引导专项资金7.6、2022年民生工程奖补、2022年12月总部经济发展引导专项资金、基础设施维护、计划生育费、乡村振兴及社会事务经费、独生子女保健费、党训、人代会议。</w:t>
      </w:r>
    </w:p>
    <w:p>
      <w:pPr>
        <w:keepNext w:val="0"/>
        <w:keepLines w:val="0"/>
        <w:pageBreakBefore w:val="0"/>
        <w:widowControl/>
        <w:kinsoku/>
        <w:wordWrap/>
        <w:overflowPunct/>
        <w:topLinePunct w:val="0"/>
        <w:bidi w:val="0"/>
        <w:adjustRightInd/>
        <w:spacing w:line="560" w:lineRule="exact"/>
        <w:ind w:firstLine="600"/>
        <w:textAlignment w:val="auto"/>
        <w:rPr>
          <w:rFonts w:ascii="黑体" w:hAnsi="仿宋" w:eastAsia="黑体" w:cs="宋体"/>
          <w:kern w:val="0"/>
          <w:sz w:val="32"/>
          <w:szCs w:val="32"/>
        </w:rPr>
      </w:pPr>
      <w:r>
        <w:rPr>
          <w:rFonts w:hint="eastAsia" w:ascii="黑体" w:hAnsi="仿宋" w:eastAsia="黑体" w:cs="宋体"/>
          <w:kern w:val="0"/>
          <w:sz w:val="32"/>
          <w:szCs w:val="32"/>
        </w:rPr>
        <w:t>二、部门预算支出情况</w:t>
      </w:r>
    </w:p>
    <w:p>
      <w:pPr>
        <w:keepNext w:val="0"/>
        <w:keepLines w:val="0"/>
        <w:pageBreakBefore w:val="0"/>
        <w:widowControl/>
        <w:kinsoku/>
        <w:wordWrap/>
        <w:overflowPunct/>
        <w:topLinePunct w:val="0"/>
        <w:bidi w:val="0"/>
        <w:adjustRightInd/>
        <w:spacing w:line="560" w:lineRule="exact"/>
        <w:ind w:firstLine="640" w:firstLineChars="200"/>
        <w:textAlignment w:val="auto"/>
        <w:rPr>
          <w:rFonts w:ascii="宋体" w:hAnsi="宋体" w:eastAsia="宋体" w:cs="宋体"/>
          <w:color w:val="000000"/>
          <w:kern w:val="0"/>
          <w:sz w:val="22"/>
          <w:szCs w:val="22"/>
        </w:rPr>
      </w:pPr>
      <w:r>
        <w:rPr>
          <w:rFonts w:hint="eastAsia" w:ascii="仿宋_GB2312" w:hAnsi="仿宋_GB2312" w:cs="仿宋_GB2312"/>
          <w:kern w:val="0"/>
          <w:sz w:val="32"/>
          <w:szCs w:val="32"/>
        </w:rPr>
        <w:t>2023年度，我镇16个自评项目中10万以上的项目有10个，分别为文明创建、村级补助资金、三阳镇叶硒庄园老年公寓适老化改造、湖田山公司项目代建费用、三阳镇购买自规局出让土地价款费用、农村“一事一议”奖补、三阳镇总部经济发展引导专项资金、三阳镇总部经济发展引导专项资金7.6、基础设施维护、乡村振兴及社会事务经费，简要情况如下：</w:t>
      </w:r>
    </w:p>
    <w:p>
      <w:pPr>
        <w:keepNext w:val="0"/>
        <w:keepLines w:val="0"/>
        <w:pageBreakBefore w:val="0"/>
        <w:kinsoku/>
        <w:wordWrap/>
        <w:overflowPunct/>
        <w:topLinePunct w:val="0"/>
        <w:bidi w:val="0"/>
        <w:adjustRightInd/>
        <w:spacing w:line="560" w:lineRule="exact"/>
        <w:ind w:firstLine="643" w:firstLineChars="200"/>
        <w:textAlignment w:val="auto"/>
        <w:rPr>
          <w:rFonts w:ascii="仿宋_GB2312" w:hAnsi="仿宋_GB2312" w:cs="仿宋_GB2312"/>
          <w:kern w:val="0"/>
          <w:sz w:val="32"/>
          <w:szCs w:val="32"/>
        </w:rPr>
      </w:pPr>
      <w:r>
        <w:rPr>
          <w:rFonts w:hint="eastAsia" w:ascii="楷体_GB2312" w:hAnsi="楷体_GB2312" w:eastAsia="楷体_GB2312" w:cs="楷体_GB2312"/>
          <w:b/>
          <w:bCs/>
          <w:sz w:val="32"/>
          <w:szCs w:val="32"/>
        </w:rPr>
        <w:t>1.“文明创建”项目</w:t>
      </w:r>
      <w:r>
        <w:rPr>
          <w:rFonts w:hint="eastAsia" w:ascii="仿宋_GB2312" w:hAnsi="仿宋_GB2312" w:cs="仿宋_GB2312"/>
          <w:kern w:val="0"/>
          <w:sz w:val="32"/>
          <w:szCs w:val="32"/>
        </w:rPr>
        <w:t>。</w:t>
      </w:r>
    </w:p>
    <w:p>
      <w:pPr>
        <w:keepNext w:val="0"/>
        <w:keepLines w:val="0"/>
        <w:pageBreakBefore w:val="0"/>
        <w:widowControl/>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（1）项目概述。创建文明城市，提升居民素质。</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（2）起止时间。2023年1月1日-2023年12月31日。</w:t>
      </w:r>
    </w:p>
    <w:p>
      <w:pPr>
        <w:pStyle w:val="4"/>
        <w:keepNext w:val="0"/>
        <w:keepLines w:val="0"/>
        <w:pageBreakBefore w:val="0"/>
        <w:shd w:val="clear" w:color="auto" w:fill="FFFFFF"/>
        <w:kinsoku/>
        <w:wordWrap/>
        <w:overflowPunct/>
        <w:topLinePunct w:val="0"/>
        <w:bidi w:val="0"/>
        <w:adjustRightInd/>
        <w:spacing w:before="0" w:beforeAutospacing="0" w:after="0" w:afterAutospacing="0" w:line="560" w:lineRule="exact"/>
        <w:ind w:firstLine="64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（3）项目内容。按照“生态可居、产业发展、生活富裕、镇风文明、村容整洁”的标准，推进我镇精神文明建设和</w:t>
      </w:r>
      <w:r>
        <w:rPr>
          <w:rFonts w:hint="eastAsia" w:ascii="仿宋_GB2312" w:hAnsi="仿宋_GB2312" w:eastAsia="仿宋_GB2312" w:cs="仿宋_GB2312"/>
          <w:sz w:val="32"/>
          <w:szCs w:val="32"/>
          <w:shd w:val="clear" w:color="auto" w:fill="FFFFFF"/>
          <w:lang w:val="en-US" w:eastAsia="zh-CN"/>
        </w:rPr>
        <w:t>乡村</w:t>
      </w:r>
      <w:r>
        <w:rPr>
          <w:rFonts w:hint="eastAsia" w:ascii="仿宋_GB2312" w:hAnsi="仿宋_GB2312" w:eastAsia="仿宋_GB2312" w:cs="仿宋_GB2312"/>
          <w:sz w:val="32"/>
          <w:szCs w:val="32"/>
          <w:shd w:val="clear" w:color="auto" w:fill="FFFFFF"/>
        </w:rPr>
        <w:t>振兴工作系统化、全面化、深入性、持续性</w:t>
      </w:r>
      <w:r>
        <w:rPr>
          <w:rFonts w:hint="eastAsia" w:ascii="仿宋_GB2312" w:hAnsi="仿宋_GB2312" w:eastAsia="仿宋_GB2312" w:cs="仿宋_GB2312"/>
          <w:sz w:val="32"/>
          <w:szCs w:val="32"/>
          <w:shd w:val="clear" w:color="auto" w:fill="FFFFFF"/>
          <w:lang w:val="en-US" w:eastAsia="zh-CN"/>
        </w:rPr>
        <w:t>地</w:t>
      </w:r>
      <w:r>
        <w:rPr>
          <w:rFonts w:hint="eastAsia" w:ascii="仿宋_GB2312" w:hAnsi="仿宋_GB2312" w:eastAsia="仿宋_GB2312" w:cs="仿宋_GB2312"/>
          <w:sz w:val="32"/>
          <w:szCs w:val="32"/>
          <w:shd w:val="clear" w:color="auto" w:fill="FFFFFF"/>
        </w:rPr>
        <w:t>开展</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为</w:t>
      </w:r>
      <w:r>
        <w:rPr>
          <w:rFonts w:hint="eastAsia" w:ascii="仿宋_GB2312" w:hAnsi="仿宋_GB2312" w:eastAsia="仿宋_GB2312" w:cs="仿宋_GB2312"/>
          <w:sz w:val="32"/>
          <w:szCs w:val="32"/>
          <w:shd w:val="clear" w:color="auto" w:fill="FFFFFF"/>
        </w:rPr>
        <w:t>争创文明</w:t>
      </w:r>
      <w:r>
        <w:rPr>
          <w:rFonts w:hint="eastAsia" w:ascii="仿宋_GB2312" w:hAnsi="仿宋_GB2312" w:eastAsia="仿宋_GB2312" w:cs="仿宋_GB2312"/>
          <w:sz w:val="32"/>
          <w:szCs w:val="32"/>
          <w:shd w:val="clear" w:color="auto" w:fill="FFFFFF"/>
          <w:lang w:val="en-US" w:eastAsia="zh-CN"/>
        </w:rPr>
        <w:t>城市贡献力量</w:t>
      </w:r>
      <w:r>
        <w:rPr>
          <w:rFonts w:hint="eastAsia" w:ascii="仿宋_GB2312" w:hAnsi="仿宋_GB2312" w:eastAsia="仿宋_GB2312" w:cs="仿宋_GB2312"/>
          <w:sz w:val="32"/>
          <w:szCs w:val="32"/>
          <w:shd w:val="clear" w:color="auto" w:fill="FFFFFF"/>
        </w:rPr>
        <w:t>。</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（4）年度预算安排。年初预算21.56万元，全年执行数21.56万元。</w:t>
      </w:r>
    </w:p>
    <w:p>
      <w:pPr>
        <w:keepNext w:val="0"/>
        <w:keepLines w:val="0"/>
        <w:pageBreakBefore w:val="0"/>
        <w:widowControl/>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（5）绩效目标和指标。引导村民深入体验并理解文明</w:t>
      </w:r>
      <w:r>
        <w:rPr>
          <w:rFonts w:hint="eastAsia" w:ascii="仿宋_GB2312" w:hAnsi="仿宋_GB2312" w:cs="仿宋_GB2312"/>
          <w:kern w:val="0"/>
          <w:sz w:val="32"/>
          <w:szCs w:val="32"/>
          <w:lang w:val="en-US" w:eastAsia="zh-CN"/>
        </w:rPr>
        <w:t>创建</w:t>
      </w:r>
      <w:r>
        <w:rPr>
          <w:rFonts w:hint="eastAsia" w:ascii="仿宋_GB2312" w:hAnsi="仿宋_GB2312" w:cs="仿宋_GB2312"/>
          <w:kern w:val="0"/>
          <w:sz w:val="32"/>
          <w:szCs w:val="32"/>
        </w:rPr>
        <w:t>的重要性，凝聚文明共识，形成文明新风尚，营造浓厚的文明</w:t>
      </w:r>
      <w:r>
        <w:rPr>
          <w:rFonts w:hint="eastAsia" w:ascii="仿宋_GB2312" w:hAnsi="仿宋_GB2312" w:cs="仿宋_GB2312"/>
          <w:kern w:val="0"/>
          <w:sz w:val="32"/>
          <w:szCs w:val="32"/>
          <w:lang w:val="en-US" w:eastAsia="zh-CN"/>
        </w:rPr>
        <w:t>城市</w:t>
      </w:r>
      <w:r>
        <w:rPr>
          <w:rFonts w:hint="eastAsia" w:ascii="仿宋_GB2312" w:hAnsi="仿宋_GB2312" w:cs="仿宋_GB2312"/>
          <w:kern w:val="0"/>
          <w:sz w:val="32"/>
          <w:szCs w:val="32"/>
        </w:rPr>
        <w:t>氛围。</w:t>
      </w:r>
    </w:p>
    <w:p>
      <w:pPr>
        <w:keepNext w:val="0"/>
        <w:keepLines w:val="0"/>
        <w:pageBreakBefore w:val="0"/>
        <w:kinsoku/>
        <w:wordWrap/>
        <w:overflowPunct/>
        <w:topLinePunct w:val="0"/>
        <w:bidi w:val="0"/>
        <w:adjustRightIn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2.“村级补助资金”项目。</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（1）项目概述。</w:t>
      </w:r>
      <w:r>
        <w:rPr>
          <w:rFonts w:hint="eastAsia" w:ascii="仿宋_GB2312" w:hAnsi="仿宋_GB2312" w:cs="仿宋_GB2312"/>
          <w:sz w:val="32"/>
          <w:szCs w:val="32"/>
          <w:shd w:val="clear" w:color="auto" w:fill="FFFFFF"/>
          <w:lang w:val="en-US" w:eastAsia="zh-CN"/>
        </w:rPr>
        <w:t>用于</w:t>
      </w:r>
      <w:r>
        <w:rPr>
          <w:rFonts w:hint="eastAsia" w:ascii="仿宋_GB2312" w:hAnsi="仿宋_GB2312" w:cs="仿宋_GB2312"/>
          <w:sz w:val="32"/>
          <w:szCs w:val="32"/>
          <w:shd w:val="clear" w:color="auto" w:fill="FFFFFF"/>
        </w:rPr>
        <w:t>保障村级组织正常运转，</w:t>
      </w:r>
      <w:r>
        <w:rPr>
          <w:rFonts w:hint="eastAsia" w:ascii="仿宋_GB2312" w:hAnsi="仿宋_GB2312" w:cs="仿宋_GB2312"/>
          <w:kern w:val="0"/>
          <w:sz w:val="32"/>
          <w:szCs w:val="32"/>
        </w:rPr>
        <w:t>促进农村基层组织建设，包括运转经费等。</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（2）起止时间。2023年1月1日-2023年12月31日。</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（3）项目内容。通过给各村党</w:t>
      </w:r>
      <w:r>
        <w:rPr>
          <w:rFonts w:hint="eastAsia" w:ascii="仿宋_GB2312" w:hAnsi="仿宋_GB2312" w:cs="仿宋_GB2312"/>
          <w:kern w:val="0"/>
          <w:sz w:val="32"/>
          <w:szCs w:val="32"/>
          <w:lang w:val="en-US" w:eastAsia="zh-CN"/>
        </w:rPr>
        <w:t>总支</w:t>
      </w:r>
      <w:r>
        <w:rPr>
          <w:rFonts w:hint="eastAsia" w:ascii="仿宋_GB2312" w:hAnsi="仿宋_GB2312" w:cs="仿宋_GB2312"/>
          <w:kern w:val="0"/>
          <w:sz w:val="32"/>
          <w:szCs w:val="32"/>
        </w:rPr>
        <w:t>和村支部进行补助，保障村级组织运转，促进农村基层组织建设，大力发展乡村振兴。</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（4）年度预算安排。年初预算161.71万元，年度预算调整核减15.53万元（因村书记工资统一县里发放，指标收回），全年执行数146.18万元。</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（5）绩效目标和指标。通过县镇考核，促进乡村振兴。发展</w:t>
      </w:r>
      <w:r>
        <w:rPr>
          <w:rFonts w:hint="eastAsia" w:ascii="仿宋_GB2312" w:hAnsi="仿宋_GB2312" w:cs="仿宋_GB2312"/>
          <w:kern w:val="0"/>
          <w:sz w:val="32"/>
          <w:szCs w:val="32"/>
          <w:lang w:val="en-US" w:eastAsia="zh-CN"/>
        </w:rPr>
        <w:t>村</w:t>
      </w:r>
      <w:r>
        <w:rPr>
          <w:rFonts w:hint="eastAsia" w:ascii="仿宋_GB2312" w:hAnsi="仿宋_GB2312" w:cs="仿宋_GB2312"/>
          <w:kern w:val="0"/>
          <w:sz w:val="32"/>
          <w:szCs w:val="32"/>
        </w:rPr>
        <w:t>集体经济，带动村民致富，改善农村人居环境，增进民生福祉。</w:t>
      </w:r>
    </w:p>
    <w:p>
      <w:pPr>
        <w:keepNext w:val="0"/>
        <w:keepLines w:val="0"/>
        <w:pageBreakBefore w:val="0"/>
        <w:kinsoku/>
        <w:wordWrap/>
        <w:overflowPunct/>
        <w:topLinePunct w:val="0"/>
        <w:bidi w:val="0"/>
        <w:adjustRightIn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3.农村“一事一议”项目。</w:t>
      </w:r>
    </w:p>
    <w:p>
      <w:pPr>
        <w:keepNext w:val="0"/>
        <w:keepLines w:val="0"/>
        <w:pageBreakBefore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cs="仿宋_GB2312"/>
          <w:kern w:val="0"/>
          <w:sz w:val="32"/>
          <w:szCs w:val="32"/>
        </w:rPr>
        <w:t>（1）项目概述。用于加强农村基础设施</w:t>
      </w:r>
      <w:r>
        <w:rPr>
          <w:rFonts w:hint="eastAsia" w:ascii="仿宋_GB2312" w:hAnsi="仿宋_GB2312" w:cs="仿宋_GB2312"/>
          <w:kern w:val="0"/>
          <w:sz w:val="32"/>
          <w:szCs w:val="32"/>
          <w:lang w:val="en-US" w:eastAsia="zh-CN"/>
        </w:rPr>
        <w:t>建设</w:t>
      </w:r>
      <w:r>
        <w:rPr>
          <w:rFonts w:hint="eastAsia" w:ascii="仿宋_GB2312" w:hAnsi="仿宋_GB2312" w:cs="仿宋_GB2312"/>
          <w:kern w:val="0"/>
          <w:sz w:val="32"/>
          <w:szCs w:val="32"/>
        </w:rPr>
        <w:t>，改善农村道路条件，改善村容村貌</w:t>
      </w:r>
      <w:r>
        <w:rPr>
          <w:rFonts w:hint="eastAsia" w:ascii="仿宋_GB2312" w:hAnsi="仿宋_GB2312" w:cs="仿宋_GB2312"/>
          <w:kern w:val="0"/>
          <w:sz w:val="32"/>
          <w:szCs w:val="32"/>
          <w:lang w:val="en-US" w:eastAsia="zh-CN"/>
        </w:rPr>
        <w:t>和</w:t>
      </w:r>
      <w:r>
        <w:rPr>
          <w:rFonts w:hint="eastAsia" w:ascii="仿宋_GB2312" w:hAnsi="仿宋_GB2312" w:cs="仿宋_GB2312"/>
          <w:kern w:val="0"/>
          <w:sz w:val="32"/>
          <w:szCs w:val="32"/>
        </w:rPr>
        <w:t>人居环境，提</w:t>
      </w:r>
      <w:r>
        <w:rPr>
          <w:rFonts w:hint="eastAsia" w:ascii="仿宋_GB2312" w:hAnsi="仿宋_GB2312" w:cs="仿宋_GB2312"/>
          <w:kern w:val="0"/>
          <w:sz w:val="32"/>
          <w:szCs w:val="32"/>
          <w:lang w:val="en-US" w:eastAsia="zh-CN"/>
        </w:rPr>
        <w:t>升</w:t>
      </w:r>
      <w:r>
        <w:rPr>
          <w:rFonts w:hint="eastAsia" w:ascii="仿宋_GB2312" w:hAnsi="仿宋_GB2312" w:cs="仿宋_GB2312"/>
          <w:kern w:val="0"/>
          <w:sz w:val="32"/>
          <w:szCs w:val="32"/>
        </w:rPr>
        <w:t>村民</w:t>
      </w:r>
      <w:r>
        <w:rPr>
          <w:rFonts w:hint="eastAsia" w:ascii="仿宋_GB2312" w:hAnsi="仿宋_GB2312" w:cs="仿宋_GB2312"/>
          <w:kern w:val="0"/>
          <w:sz w:val="32"/>
          <w:szCs w:val="32"/>
          <w:lang w:val="en-US" w:eastAsia="zh-CN"/>
        </w:rPr>
        <w:t>幸福感和</w:t>
      </w:r>
      <w:r>
        <w:rPr>
          <w:rFonts w:hint="eastAsia" w:ascii="仿宋_GB2312" w:hAnsi="仿宋_GB2312" w:cs="仿宋_GB2312"/>
          <w:kern w:val="0"/>
          <w:sz w:val="32"/>
          <w:szCs w:val="32"/>
        </w:rPr>
        <w:t>满意度。</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（2）起止时间。2023年1月1日-2023年12月31日。</w:t>
      </w:r>
    </w:p>
    <w:p>
      <w:pPr>
        <w:keepNext w:val="0"/>
        <w:keepLines w:val="0"/>
        <w:pageBreakBefore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cs="仿宋_GB2312"/>
          <w:kern w:val="0"/>
          <w:sz w:val="32"/>
          <w:szCs w:val="32"/>
        </w:rPr>
        <w:t>（3）项目内容。加强农村基础设施</w:t>
      </w:r>
      <w:r>
        <w:rPr>
          <w:rFonts w:hint="eastAsia" w:ascii="仿宋_GB2312" w:hAnsi="仿宋_GB2312" w:cs="仿宋_GB2312"/>
          <w:kern w:val="0"/>
          <w:sz w:val="32"/>
          <w:szCs w:val="32"/>
          <w:lang w:val="en-US" w:eastAsia="zh-CN"/>
        </w:rPr>
        <w:t>建设</w:t>
      </w:r>
      <w:r>
        <w:rPr>
          <w:rFonts w:hint="eastAsia" w:ascii="仿宋_GB2312" w:hAnsi="仿宋_GB2312" w:cs="仿宋_GB2312"/>
          <w:kern w:val="0"/>
          <w:sz w:val="32"/>
          <w:szCs w:val="32"/>
        </w:rPr>
        <w:t>，改善农村道路条件，改善村容村貌</w:t>
      </w:r>
      <w:r>
        <w:rPr>
          <w:rFonts w:hint="eastAsia" w:ascii="仿宋_GB2312" w:hAnsi="仿宋_GB2312" w:cs="仿宋_GB2312"/>
          <w:kern w:val="0"/>
          <w:sz w:val="32"/>
          <w:szCs w:val="32"/>
          <w:lang w:val="en-US" w:eastAsia="zh-CN"/>
        </w:rPr>
        <w:t>和</w:t>
      </w:r>
      <w:r>
        <w:rPr>
          <w:rFonts w:hint="eastAsia" w:ascii="仿宋_GB2312" w:hAnsi="仿宋_GB2312" w:cs="仿宋_GB2312"/>
          <w:kern w:val="0"/>
          <w:sz w:val="32"/>
          <w:szCs w:val="32"/>
        </w:rPr>
        <w:t>人居环境，提</w:t>
      </w:r>
      <w:r>
        <w:rPr>
          <w:rFonts w:hint="eastAsia" w:ascii="仿宋_GB2312" w:hAnsi="仿宋_GB2312" w:cs="仿宋_GB2312"/>
          <w:kern w:val="0"/>
          <w:sz w:val="32"/>
          <w:szCs w:val="32"/>
          <w:lang w:val="en-US" w:eastAsia="zh-CN"/>
        </w:rPr>
        <w:t>升</w:t>
      </w:r>
      <w:r>
        <w:rPr>
          <w:rFonts w:hint="eastAsia" w:ascii="仿宋_GB2312" w:hAnsi="仿宋_GB2312" w:cs="仿宋_GB2312"/>
          <w:kern w:val="0"/>
          <w:sz w:val="32"/>
          <w:szCs w:val="32"/>
        </w:rPr>
        <w:t>村民</w:t>
      </w:r>
      <w:r>
        <w:rPr>
          <w:rFonts w:hint="eastAsia" w:ascii="仿宋_GB2312" w:hAnsi="仿宋_GB2312" w:cs="仿宋_GB2312"/>
          <w:kern w:val="0"/>
          <w:sz w:val="32"/>
          <w:szCs w:val="32"/>
          <w:lang w:val="en-US" w:eastAsia="zh-CN"/>
        </w:rPr>
        <w:t>幸福感和</w:t>
      </w:r>
      <w:r>
        <w:rPr>
          <w:rFonts w:hint="eastAsia" w:ascii="仿宋_GB2312" w:hAnsi="仿宋_GB2312" w:cs="仿宋_GB2312"/>
          <w:kern w:val="0"/>
          <w:sz w:val="32"/>
          <w:szCs w:val="32"/>
        </w:rPr>
        <w:t>满意度。</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（4）年度预算安排。年初预算48万元，全年执行数0元（</w:t>
      </w:r>
      <w:r>
        <w:rPr>
          <w:rFonts w:hint="eastAsia" w:ascii="仿宋_GB2312" w:hAnsi="仿宋_GB2312" w:cs="仿宋_GB2312"/>
          <w:kern w:val="0"/>
          <w:sz w:val="32"/>
          <w:szCs w:val="32"/>
          <w:lang w:val="en-US" w:eastAsia="zh-CN"/>
        </w:rPr>
        <w:t>2023年</w:t>
      </w:r>
      <w:r>
        <w:rPr>
          <w:rFonts w:hint="eastAsia" w:ascii="仿宋_GB2312" w:hAnsi="仿宋_GB2312" w:cs="仿宋_GB2312"/>
          <w:kern w:val="0"/>
          <w:sz w:val="32"/>
          <w:szCs w:val="32"/>
        </w:rPr>
        <w:t>“一事一议”项目资金</w:t>
      </w:r>
      <w:r>
        <w:rPr>
          <w:rFonts w:hint="eastAsia" w:ascii="仿宋_GB2312" w:hAnsi="仿宋_GB2312" w:cs="仿宋_GB2312"/>
          <w:kern w:val="0"/>
          <w:sz w:val="32"/>
          <w:szCs w:val="32"/>
          <w:lang w:val="en-US" w:eastAsia="zh-CN"/>
        </w:rPr>
        <w:t>48万元</w:t>
      </w:r>
      <w:r>
        <w:rPr>
          <w:rFonts w:ascii="仿宋_GB2312" w:hAnsi="仿宋_GB2312" w:cs="仿宋_GB2312"/>
          <w:kern w:val="0"/>
          <w:sz w:val="32"/>
          <w:szCs w:val="32"/>
        </w:rPr>
        <w:t>县</w:t>
      </w:r>
      <w:r>
        <w:rPr>
          <w:rFonts w:hint="eastAsia" w:ascii="仿宋_GB2312" w:hAnsi="仿宋_GB2312" w:cs="仿宋_GB2312"/>
          <w:kern w:val="0"/>
          <w:sz w:val="32"/>
          <w:szCs w:val="32"/>
          <w:lang w:val="en-US" w:eastAsia="zh-CN"/>
        </w:rPr>
        <w:t>财政未</w:t>
      </w:r>
      <w:r>
        <w:rPr>
          <w:rFonts w:ascii="仿宋_GB2312" w:hAnsi="仿宋_GB2312" w:cs="仿宋_GB2312"/>
          <w:kern w:val="0"/>
          <w:sz w:val="32"/>
          <w:szCs w:val="32"/>
        </w:rPr>
        <w:t>下拨）。</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（5）绩效目标和指标。加强农村基础</w:t>
      </w:r>
      <w:r>
        <w:rPr>
          <w:rFonts w:hint="eastAsia" w:ascii="仿宋_GB2312" w:hAnsi="仿宋_GB2312" w:cs="仿宋_GB2312"/>
          <w:kern w:val="0"/>
          <w:sz w:val="32"/>
          <w:szCs w:val="32"/>
          <w:lang w:val="en-US" w:eastAsia="zh-CN"/>
        </w:rPr>
        <w:t>设施</w:t>
      </w:r>
      <w:r>
        <w:rPr>
          <w:rFonts w:hint="eastAsia" w:ascii="仿宋_GB2312" w:hAnsi="仿宋_GB2312" w:cs="仿宋_GB2312"/>
          <w:kern w:val="0"/>
          <w:sz w:val="32"/>
          <w:szCs w:val="32"/>
        </w:rPr>
        <w:t>建设，如道路建设，农田水利设施建设等、调动村民参与公益事业建设的积极性，提升村民生活幸福感和满意度。</w:t>
      </w:r>
    </w:p>
    <w:p>
      <w:pPr>
        <w:keepNext w:val="0"/>
        <w:keepLines w:val="0"/>
        <w:pageBreakBefore w:val="0"/>
        <w:kinsoku/>
        <w:wordWrap/>
        <w:overflowPunct/>
        <w:topLinePunct w:val="0"/>
        <w:bidi w:val="0"/>
        <w:adjustRightInd/>
        <w:spacing w:line="560" w:lineRule="exact"/>
        <w:ind w:firstLine="643" w:firstLineChars="200"/>
        <w:textAlignment w:val="auto"/>
        <w:rPr>
          <w:rFonts w:ascii="仿宋_GB2312" w:hAnsi="仿宋_GB2312" w:cs="仿宋_GB2312"/>
          <w:kern w:val="0"/>
          <w:sz w:val="32"/>
          <w:szCs w:val="32"/>
        </w:rPr>
      </w:pPr>
      <w:r>
        <w:rPr>
          <w:rFonts w:hint="eastAsia" w:ascii="楷体_GB2312" w:hAnsi="楷体_GB2312" w:eastAsia="楷体_GB2312" w:cs="楷体_GB2312"/>
          <w:b/>
          <w:bCs/>
          <w:sz w:val="32"/>
          <w:szCs w:val="32"/>
        </w:rPr>
        <w:t>4.乡村振兴及社会事务经费项目。</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（1）项目概述。用于乡村振兴及社会事务经费支出，包括森林防火、防汛抗旱、涉农资金发放、便民服务等方面的费用。</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（2）起止时间。2023年1月1日-2023年12月31日。</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（3）项目内容。有序推进我镇森林防火、防汛抗旱、病虫害防治、综合治理、安全生产、社保保障、涉农资金发放、便民服务等各项工作。</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（4）年度预算安排。年初预算21.06万元，全年执行数21.04万元（公务接待费结余0.02万元，年底县财政局</w:t>
      </w:r>
      <w:r>
        <w:rPr>
          <w:rFonts w:hint="eastAsia" w:ascii="仿宋_GB2312" w:hAnsi="仿宋_GB2312" w:cs="仿宋_GB2312"/>
          <w:kern w:val="0"/>
          <w:sz w:val="32"/>
          <w:szCs w:val="32"/>
          <w:lang w:val="en-US" w:eastAsia="zh-CN"/>
        </w:rPr>
        <w:t>已</w:t>
      </w:r>
      <w:r>
        <w:rPr>
          <w:rFonts w:hint="eastAsia" w:ascii="仿宋_GB2312" w:hAnsi="仿宋_GB2312" w:cs="仿宋_GB2312"/>
          <w:kern w:val="0"/>
          <w:sz w:val="32"/>
          <w:szCs w:val="32"/>
        </w:rPr>
        <w:t>收回）。</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（5）绩效目标和指标。加</w:t>
      </w:r>
      <w:r>
        <w:rPr>
          <w:rFonts w:hint="eastAsia" w:ascii="仿宋_GB2312" w:hAnsi="仿宋_GB2312" w:cs="仿宋_GB2312"/>
          <w:kern w:val="0"/>
          <w:sz w:val="32"/>
          <w:szCs w:val="32"/>
          <w:lang w:val="en-US" w:eastAsia="zh-CN"/>
        </w:rPr>
        <w:t>快</w:t>
      </w:r>
      <w:r>
        <w:rPr>
          <w:rFonts w:hint="eastAsia" w:ascii="仿宋_GB2312" w:hAnsi="仿宋_GB2312" w:cs="仿宋_GB2312"/>
          <w:kern w:val="0"/>
          <w:sz w:val="32"/>
          <w:szCs w:val="32"/>
        </w:rPr>
        <w:t>完善农村治理机制，完善乡镇基础设施建设，为乡村振兴提供应有保障。</w:t>
      </w:r>
    </w:p>
    <w:p>
      <w:pPr>
        <w:keepNext w:val="0"/>
        <w:keepLines w:val="0"/>
        <w:pageBreakBefore w:val="0"/>
        <w:kinsoku/>
        <w:wordWrap/>
        <w:overflowPunct/>
        <w:topLinePunct w:val="0"/>
        <w:bidi w:val="0"/>
        <w:adjustRightIn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5.三</w:t>
      </w:r>
      <w:r>
        <w:rPr>
          <w:rFonts w:hint="eastAsia" w:ascii="楷体_GB2312" w:hAnsi="楷体_GB2312" w:eastAsia="楷体_GB2312" w:cs="楷体_GB2312"/>
          <w:b/>
          <w:bCs/>
          <w:sz w:val="32"/>
          <w:szCs w:val="32"/>
          <w:lang w:val="en-US" w:eastAsia="zh-CN"/>
        </w:rPr>
        <w:t>阳</w:t>
      </w:r>
      <w:r>
        <w:rPr>
          <w:rFonts w:hint="eastAsia" w:ascii="楷体_GB2312" w:hAnsi="楷体_GB2312" w:eastAsia="楷体_GB2312" w:cs="楷体_GB2312"/>
          <w:b/>
          <w:bCs/>
          <w:sz w:val="32"/>
          <w:szCs w:val="32"/>
        </w:rPr>
        <w:t>镇叶硒庄园老年公寓适老化改造项目。</w:t>
      </w:r>
    </w:p>
    <w:p>
      <w:pPr>
        <w:keepNext w:val="0"/>
        <w:keepLines w:val="0"/>
        <w:pageBreakBefore w:val="0"/>
        <w:widowControl/>
        <w:kinsoku/>
        <w:wordWrap/>
        <w:overflowPunct/>
        <w:topLinePunct w:val="0"/>
        <w:bidi w:val="0"/>
        <w:adjustRightInd/>
        <w:spacing w:line="560" w:lineRule="exact"/>
        <w:ind w:firstLine="640" w:firstLineChars="200"/>
        <w:textAlignment w:val="auto"/>
        <w:rPr>
          <w:rFonts w:ascii="宋体" w:hAnsi="宋体" w:eastAsia="宋体" w:cs="宋体"/>
          <w:color w:val="000000"/>
          <w:kern w:val="0"/>
          <w:sz w:val="24"/>
        </w:rPr>
      </w:pPr>
      <w:r>
        <w:rPr>
          <w:rFonts w:hint="eastAsia" w:ascii="仿宋_GB2312" w:hAnsi="仿宋_GB2312" w:cs="仿宋_GB2312"/>
          <w:kern w:val="0"/>
          <w:sz w:val="32"/>
          <w:szCs w:val="32"/>
        </w:rPr>
        <w:t>（1）项目概述。随着“银发浪潮”的到来，老年公寓</w:t>
      </w:r>
      <w:r>
        <w:rPr>
          <w:rFonts w:hint="eastAsia" w:ascii="仿宋_GB2312" w:hAnsi="仿宋_GB2312" w:cs="仿宋_GB2312"/>
          <w:kern w:val="0"/>
          <w:sz w:val="32"/>
          <w:szCs w:val="32"/>
          <w:lang w:val="en-US" w:eastAsia="zh-CN"/>
        </w:rPr>
        <w:t>改造</w:t>
      </w:r>
      <w:r>
        <w:rPr>
          <w:rFonts w:hint="eastAsia" w:ascii="仿宋_GB2312" w:hAnsi="仿宋_GB2312" w:cs="仿宋_GB2312"/>
          <w:kern w:val="0"/>
          <w:sz w:val="32"/>
          <w:szCs w:val="32"/>
        </w:rPr>
        <w:t>可以改善老人们的现有生活状况</w:t>
      </w:r>
      <w:r>
        <w:rPr>
          <w:rFonts w:hint="eastAsia" w:ascii="仿宋_GB2312" w:hAnsi="仿宋_GB2312" w:cs="仿宋_GB2312"/>
          <w:kern w:val="0"/>
          <w:sz w:val="32"/>
          <w:szCs w:val="32"/>
          <w:lang w:val="en-US" w:eastAsia="zh-CN"/>
        </w:rPr>
        <w:t>和条件</w:t>
      </w:r>
      <w:r>
        <w:rPr>
          <w:rFonts w:hint="eastAsia" w:ascii="仿宋_GB2312" w:hAnsi="仿宋_GB2312" w:cs="仿宋_GB2312"/>
          <w:kern w:val="0"/>
          <w:sz w:val="32"/>
          <w:szCs w:val="32"/>
        </w:rPr>
        <w:t>，优化养老服务供给</w:t>
      </w: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rPr>
        <w:t>提高</w:t>
      </w:r>
      <w:r>
        <w:rPr>
          <w:rFonts w:hint="eastAsia" w:ascii="仿宋_GB2312" w:hAnsi="仿宋_GB2312" w:cs="仿宋_GB2312"/>
          <w:kern w:val="0"/>
          <w:sz w:val="32"/>
          <w:szCs w:val="32"/>
          <w:lang w:val="en-US" w:eastAsia="zh-CN"/>
        </w:rPr>
        <w:t>群众的</w:t>
      </w:r>
      <w:r>
        <w:rPr>
          <w:rFonts w:hint="eastAsia" w:ascii="仿宋_GB2312" w:hAnsi="仿宋_GB2312" w:cs="仿宋_GB2312"/>
          <w:kern w:val="0"/>
          <w:sz w:val="32"/>
          <w:szCs w:val="32"/>
        </w:rPr>
        <w:t>生活幸福感和满足感。</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（2）起止时间。2023年1月1日-2023年12月31日。</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（3）项目内容。供有需求的老年群体集中居住，提供餐饮、清洁卫生、文化娱乐等服务。</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（4）年度预算安排。年初预算50万元，全年执行数50万元。</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（5）绩效目标和指标。提供高质量养老服务，提高养老服务管理水平，</w:t>
      </w:r>
      <w:r>
        <w:rPr>
          <w:rFonts w:hint="eastAsia" w:ascii="仿宋_GB2312" w:hAnsi="仿宋_GB2312" w:cs="仿宋_GB2312"/>
          <w:kern w:val="0"/>
          <w:sz w:val="32"/>
          <w:szCs w:val="32"/>
          <w:lang w:val="en-US" w:eastAsia="zh-CN"/>
        </w:rPr>
        <w:t>实现</w:t>
      </w:r>
      <w:r>
        <w:rPr>
          <w:rFonts w:hint="eastAsia" w:ascii="仿宋_GB2312" w:hAnsi="仿宋_GB2312" w:cs="仿宋_GB2312"/>
          <w:kern w:val="0"/>
          <w:sz w:val="32"/>
          <w:szCs w:val="32"/>
        </w:rPr>
        <w:t>老有所养，促进社会和谐稳定。</w:t>
      </w:r>
    </w:p>
    <w:p>
      <w:pPr>
        <w:keepNext w:val="0"/>
        <w:keepLines w:val="0"/>
        <w:pageBreakBefore w:val="0"/>
        <w:kinsoku/>
        <w:wordWrap/>
        <w:overflowPunct/>
        <w:topLinePunct w:val="0"/>
        <w:bidi w:val="0"/>
        <w:adjustRightIn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6.湖田山公司项目代建费用项目。</w:t>
      </w:r>
    </w:p>
    <w:p>
      <w:pPr>
        <w:keepNext w:val="0"/>
        <w:keepLines w:val="0"/>
        <w:pageBreakBefore w:val="0"/>
        <w:widowControl/>
        <w:kinsoku/>
        <w:wordWrap/>
        <w:overflowPunct/>
        <w:topLinePunct w:val="0"/>
        <w:bidi w:val="0"/>
        <w:adjustRightInd/>
        <w:spacing w:line="560" w:lineRule="exact"/>
        <w:ind w:firstLine="640" w:firstLineChars="200"/>
        <w:textAlignment w:val="auto"/>
        <w:rPr>
          <w:rFonts w:ascii="宋体" w:hAnsi="宋体" w:eastAsia="宋体" w:cs="宋体"/>
          <w:color w:val="000000"/>
          <w:kern w:val="0"/>
          <w:sz w:val="24"/>
        </w:rPr>
      </w:pPr>
      <w:r>
        <w:rPr>
          <w:rFonts w:hint="eastAsia" w:ascii="仿宋_GB2312" w:hAnsi="仿宋_GB2312" w:cs="仿宋_GB2312"/>
          <w:kern w:val="0"/>
          <w:sz w:val="32"/>
          <w:szCs w:val="32"/>
        </w:rPr>
        <w:t>（1）项目概述。用于湖田山公司项目代建费用等相关支出。</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（2）起止时间。2023年1月1日-2023年12月31日。</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（3）项目内容。提供湖田山项目配套设施设备，做好配套服务，提高三阳镇及湖田山景区对游客吸引力，促进本镇经济发展。</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（4）年度预算安排。年初预算3690万元，全年执行数3690万元。</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（5）绩效目标和指标。推进湖田山景区</w:t>
      </w:r>
      <w:r>
        <w:rPr>
          <w:rFonts w:hint="eastAsia" w:ascii="仿宋_GB2312" w:hAnsi="仿宋_GB2312" w:cs="仿宋_GB2312"/>
          <w:kern w:val="0"/>
          <w:sz w:val="32"/>
          <w:szCs w:val="32"/>
          <w:lang w:val="en-US" w:eastAsia="zh-CN"/>
        </w:rPr>
        <w:t>项目</w:t>
      </w:r>
      <w:r>
        <w:rPr>
          <w:rFonts w:hint="eastAsia" w:ascii="仿宋_GB2312" w:hAnsi="仿宋_GB2312" w:cs="仿宋_GB2312"/>
          <w:kern w:val="0"/>
          <w:sz w:val="32"/>
          <w:szCs w:val="32"/>
        </w:rPr>
        <w:t>建设工作稳步开展。</w:t>
      </w:r>
    </w:p>
    <w:p>
      <w:pPr>
        <w:keepNext w:val="0"/>
        <w:keepLines w:val="0"/>
        <w:pageBreakBefore w:val="0"/>
        <w:kinsoku/>
        <w:wordWrap/>
        <w:overflowPunct/>
        <w:topLinePunct w:val="0"/>
        <w:bidi w:val="0"/>
        <w:adjustRightIn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7.三阳镇购买自规局出让土地价款费用项目。</w:t>
      </w:r>
    </w:p>
    <w:p>
      <w:pPr>
        <w:keepNext w:val="0"/>
        <w:keepLines w:val="0"/>
        <w:pageBreakBefore w:val="0"/>
        <w:widowControl/>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（1）项目概述。补助三阳镇购买自规局出让土地价款费用。</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（2）起止时间。2023年1月1日-2023年12月31日。</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（3）项目内容。用于三阳镇项目建设。</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（4）年度预算安排。年初预算400万元，全年执行数</w:t>
      </w:r>
      <w:r>
        <w:rPr>
          <w:rFonts w:hint="eastAsia" w:ascii="仿宋_GB2312" w:hAnsi="仿宋_GB2312" w:cs="仿宋_GB2312"/>
          <w:color w:val="auto"/>
          <w:kern w:val="0"/>
          <w:sz w:val="32"/>
          <w:szCs w:val="32"/>
        </w:rPr>
        <w:t>200</w:t>
      </w:r>
      <w:r>
        <w:rPr>
          <w:rFonts w:hint="eastAsia" w:ascii="仿宋_GB2312" w:hAnsi="仿宋_GB2312" w:cs="仿宋_GB2312"/>
          <w:kern w:val="0"/>
          <w:sz w:val="32"/>
          <w:szCs w:val="32"/>
        </w:rPr>
        <w:t>万元（未执行的200万是由于县财政未下达资金）。</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（5）绩效目标和指标。提供足量项目建设用地，提高土地利用效率，推动</w:t>
      </w:r>
      <w:r>
        <w:rPr>
          <w:rFonts w:hint="eastAsia" w:ascii="仿宋_GB2312" w:hAnsi="仿宋_GB2312" w:cs="仿宋_GB2312"/>
          <w:kern w:val="0"/>
          <w:sz w:val="32"/>
          <w:szCs w:val="32"/>
          <w:lang w:val="en-US" w:eastAsia="zh-CN"/>
        </w:rPr>
        <w:t>湖田山景区项目建设</w:t>
      </w:r>
      <w:r>
        <w:rPr>
          <w:rFonts w:hint="eastAsia" w:ascii="仿宋_GB2312" w:hAnsi="仿宋_GB2312" w:cs="仿宋_GB2312"/>
          <w:kern w:val="0"/>
          <w:sz w:val="32"/>
          <w:szCs w:val="32"/>
        </w:rPr>
        <w:t>。</w:t>
      </w:r>
    </w:p>
    <w:p>
      <w:pPr>
        <w:keepNext w:val="0"/>
        <w:keepLines w:val="0"/>
        <w:pageBreakBefore w:val="0"/>
        <w:kinsoku/>
        <w:wordWrap/>
        <w:overflowPunct/>
        <w:topLinePunct w:val="0"/>
        <w:bidi w:val="0"/>
        <w:adjustRightIn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8.基础设施维护项目。</w:t>
      </w:r>
    </w:p>
    <w:p>
      <w:pPr>
        <w:keepNext w:val="0"/>
        <w:keepLines w:val="0"/>
        <w:pageBreakBefore w:val="0"/>
        <w:widowControl/>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（1）项目概述。用于三阳镇村庄整治等支出，持续推动城乡一体化建设。</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（2）起止时间。2023年1月1日-2023年12月31日。</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（3）项目内容。用于</w:t>
      </w:r>
      <w:r>
        <w:rPr>
          <w:rFonts w:hint="eastAsia" w:ascii="仿宋_GB2312" w:hAnsi="仿宋_GB2312" w:cs="仿宋_GB2312"/>
          <w:kern w:val="0"/>
          <w:sz w:val="32"/>
          <w:szCs w:val="32"/>
          <w:lang w:val="en-US" w:eastAsia="zh-CN"/>
        </w:rPr>
        <w:t>镇域</w:t>
      </w:r>
      <w:r>
        <w:rPr>
          <w:rFonts w:hint="eastAsia" w:ascii="仿宋_GB2312" w:hAnsi="仿宋_GB2312" w:cs="仿宋_GB2312"/>
          <w:kern w:val="0"/>
          <w:sz w:val="32"/>
          <w:szCs w:val="32"/>
        </w:rPr>
        <w:t>范围内交通、水利、电力、通讯等基础设施领域，包括设施的日常检修、维修、更换损坏部件、升级设备以及进行必要的加固改造等。</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（4）年度预算安排。年初预算22万元，全年执行数22万元。</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（5）绩效目标和指标。对本镇基础设施进行全面维护，恢复正常功能，提高设施使用效率，降低</w:t>
      </w:r>
      <w:r>
        <w:rPr>
          <w:rFonts w:hint="eastAsia" w:ascii="仿宋_GB2312" w:hAnsi="仿宋_GB2312" w:cs="仿宋_GB2312"/>
          <w:kern w:val="0"/>
          <w:sz w:val="32"/>
          <w:szCs w:val="32"/>
          <w:lang w:val="en-US" w:eastAsia="zh-CN"/>
        </w:rPr>
        <w:t>行政运行</w:t>
      </w:r>
      <w:r>
        <w:rPr>
          <w:rFonts w:hint="eastAsia" w:ascii="仿宋_GB2312" w:hAnsi="仿宋_GB2312" w:cs="仿宋_GB2312"/>
          <w:kern w:val="0"/>
          <w:sz w:val="32"/>
          <w:szCs w:val="32"/>
        </w:rPr>
        <w:t>成本，减少因设施故障引发的安全事故，确保社会经济稳定发展。</w:t>
      </w:r>
    </w:p>
    <w:p>
      <w:pPr>
        <w:keepNext w:val="0"/>
        <w:keepLines w:val="0"/>
        <w:pageBreakBefore w:val="0"/>
        <w:kinsoku/>
        <w:wordWrap/>
        <w:overflowPunct/>
        <w:topLinePunct w:val="0"/>
        <w:bidi w:val="0"/>
        <w:adjustRightIn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9.三阳镇总部经济发展引导专项资金项目。</w:t>
      </w:r>
    </w:p>
    <w:p>
      <w:pPr>
        <w:keepNext w:val="0"/>
        <w:keepLines w:val="0"/>
        <w:pageBreakBefore w:val="0"/>
        <w:kinsoku/>
        <w:wordWrap/>
        <w:overflowPunct/>
        <w:topLinePunct w:val="0"/>
        <w:bidi w:val="0"/>
        <w:adjustRightInd/>
        <w:spacing w:line="560" w:lineRule="exact"/>
        <w:ind w:firstLine="640" w:firstLineChars="200"/>
        <w:textAlignment w:val="auto"/>
        <w:rPr>
          <w:rFonts w:hint="eastAsia" w:ascii="仿宋_GB2312" w:hAnsi="仿宋_GB2312" w:cs="仿宋_GB2312"/>
          <w:kern w:val="0"/>
          <w:sz w:val="32"/>
          <w:szCs w:val="32"/>
        </w:rPr>
      </w:pPr>
      <w:r>
        <w:rPr>
          <w:rFonts w:hint="eastAsia" w:ascii="仿宋_GB2312" w:hAnsi="仿宋_GB2312" w:cs="仿宋_GB2312"/>
          <w:kern w:val="0"/>
          <w:sz w:val="32"/>
          <w:szCs w:val="32"/>
        </w:rPr>
        <w:t>（1）项目概述。</w:t>
      </w:r>
      <w:r>
        <w:rPr>
          <w:rFonts w:hint="eastAsia" w:ascii="仿宋_GB2312" w:hAnsi="仿宋_GB2312" w:cs="仿宋_GB2312"/>
          <w:kern w:val="0"/>
          <w:sz w:val="32"/>
          <w:szCs w:val="32"/>
          <w:lang w:val="en-US" w:eastAsia="zh-CN"/>
        </w:rPr>
        <w:t>用于对企业补助等支出</w:t>
      </w:r>
      <w:r>
        <w:rPr>
          <w:rFonts w:hint="eastAsia" w:ascii="仿宋_GB2312" w:hAnsi="仿宋_GB2312" w:cs="仿宋_GB2312"/>
          <w:kern w:val="0"/>
          <w:sz w:val="32"/>
          <w:szCs w:val="32"/>
        </w:rPr>
        <w:t>。</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（2）起止时间。2023年1月1日-2023年12月31日。</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sz w:val="32"/>
          <w:szCs w:val="32"/>
        </w:rPr>
      </w:pPr>
      <w:r>
        <w:rPr>
          <w:rFonts w:hint="eastAsia" w:ascii="仿宋_GB2312" w:hAnsi="仿宋_GB2312" w:cs="仿宋_GB2312"/>
          <w:kern w:val="0"/>
          <w:sz w:val="32"/>
          <w:szCs w:val="32"/>
        </w:rPr>
        <w:t>（3）项目内容。</w:t>
      </w:r>
      <w:r>
        <w:rPr>
          <w:rFonts w:hint="eastAsia" w:ascii="仿宋_GB2312" w:hAnsi="仿宋_GB2312" w:cs="仿宋_GB2312"/>
          <w:sz w:val="32"/>
          <w:szCs w:val="32"/>
        </w:rPr>
        <w:t>根据相关</w:t>
      </w:r>
      <w:r>
        <w:rPr>
          <w:rFonts w:hint="eastAsia" w:ascii="仿宋_GB2312" w:hAnsi="仿宋_GB2312" w:cs="仿宋_GB2312"/>
          <w:sz w:val="32"/>
          <w:szCs w:val="32"/>
          <w:lang w:val="en-US" w:eastAsia="zh-CN"/>
        </w:rPr>
        <w:t>政策文件</w:t>
      </w:r>
      <w:r>
        <w:rPr>
          <w:rFonts w:hint="eastAsia" w:ascii="仿宋_GB2312" w:hAnsi="仿宋_GB2312" w:cs="仿宋_GB2312"/>
          <w:sz w:val="32"/>
          <w:szCs w:val="32"/>
        </w:rPr>
        <w:t>，对相关企业给予</w:t>
      </w:r>
      <w:r>
        <w:rPr>
          <w:rFonts w:hint="eastAsia" w:ascii="仿宋_GB2312" w:hAnsi="仿宋_GB2312" w:cs="仿宋_GB2312"/>
          <w:sz w:val="32"/>
          <w:szCs w:val="32"/>
          <w:lang w:val="en-US" w:eastAsia="zh-CN"/>
        </w:rPr>
        <w:t>补助</w:t>
      </w:r>
      <w:r>
        <w:rPr>
          <w:rFonts w:hint="eastAsia" w:ascii="仿宋_GB2312" w:hAnsi="仿宋_GB2312" w:cs="仿宋_GB2312"/>
          <w:sz w:val="32"/>
          <w:szCs w:val="32"/>
        </w:rPr>
        <w:t>。</w:t>
      </w:r>
    </w:p>
    <w:p>
      <w:pPr>
        <w:keepNext w:val="0"/>
        <w:keepLines w:val="0"/>
        <w:pageBreakBefore w:val="0"/>
        <w:widowControl/>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（4）年度预算安排。年初预算24.4万元，全年执行数24.4万元。</w:t>
      </w:r>
    </w:p>
    <w:p>
      <w:pPr>
        <w:keepNext w:val="0"/>
        <w:keepLines w:val="0"/>
        <w:pageBreakBefore w:val="0"/>
        <w:widowControl/>
        <w:kinsoku/>
        <w:wordWrap/>
        <w:overflowPunct/>
        <w:topLinePunct w:val="0"/>
        <w:bidi w:val="0"/>
        <w:adjustRightInd/>
        <w:spacing w:line="560" w:lineRule="exact"/>
        <w:ind w:firstLine="640" w:firstLineChars="200"/>
        <w:textAlignment w:val="auto"/>
        <w:rPr>
          <w:rFonts w:ascii="宋体" w:hAnsi="宋体" w:eastAsia="宋体" w:cs="宋体"/>
          <w:color w:val="000000"/>
          <w:kern w:val="0"/>
          <w:sz w:val="22"/>
          <w:szCs w:val="22"/>
        </w:rPr>
      </w:pPr>
      <w:r>
        <w:rPr>
          <w:rFonts w:hint="eastAsia" w:ascii="仿宋_GB2312" w:hAnsi="仿宋_GB2312" w:cs="仿宋_GB2312"/>
          <w:kern w:val="0"/>
          <w:sz w:val="32"/>
          <w:szCs w:val="32"/>
        </w:rPr>
        <w:t>（5）绩效目标和指标。优化营商环境，</w:t>
      </w:r>
      <w:r>
        <w:rPr>
          <w:rFonts w:hint="eastAsia" w:ascii="仿宋_GB2312" w:hAnsi="仿宋_GB2312" w:cs="仿宋_GB2312"/>
          <w:kern w:val="0"/>
          <w:sz w:val="32"/>
          <w:szCs w:val="32"/>
          <w:lang w:val="en-US" w:eastAsia="zh-CN"/>
        </w:rPr>
        <w:t>为镇属</w:t>
      </w:r>
      <w:r>
        <w:rPr>
          <w:rFonts w:hint="eastAsia" w:ascii="仿宋_GB2312" w:hAnsi="仿宋_GB2312" w:cs="仿宋_GB2312"/>
          <w:kern w:val="0"/>
          <w:sz w:val="32"/>
          <w:szCs w:val="32"/>
        </w:rPr>
        <w:t>企业持续稳健经营</w:t>
      </w:r>
      <w:r>
        <w:rPr>
          <w:rFonts w:hint="eastAsia" w:ascii="仿宋_GB2312" w:hAnsi="仿宋_GB2312" w:cs="仿宋_GB2312"/>
          <w:kern w:val="0"/>
          <w:sz w:val="32"/>
          <w:szCs w:val="32"/>
          <w:lang w:val="en-US" w:eastAsia="zh-CN"/>
        </w:rPr>
        <w:t>提供保障</w:t>
      </w:r>
      <w:r>
        <w:rPr>
          <w:rFonts w:hint="eastAsia" w:ascii="仿宋_GB2312" w:hAnsi="仿宋_GB2312" w:cs="仿宋_GB2312"/>
          <w:kern w:val="0"/>
          <w:sz w:val="32"/>
          <w:szCs w:val="32"/>
        </w:rPr>
        <w:t>，促进企业可持续发展。</w:t>
      </w:r>
    </w:p>
    <w:p>
      <w:pPr>
        <w:keepNext w:val="0"/>
        <w:keepLines w:val="0"/>
        <w:pageBreakBefore w:val="0"/>
        <w:kinsoku/>
        <w:wordWrap/>
        <w:overflowPunct/>
        <w:topLinePunct w:val="0"/>
        <w:bidi w:val="0"/>
        <w:adjustRightInd/>
        <w:spacing w:line="560" w:lineRule="exact"/>
        <w:ind w:firstLine="640" w:firstLineChars="200"/>
        <w:textAlignment w:val="auto"/>
        <w:rPr>
          <w:rFonts w:ascii="黑体" w:hAnsi="仿宋" w:eastAsia="黑体" w:cs="宋体"/>
          <w:kern w:val="0"/>
          <w:sz w:val="32"/>
          <w:szCs w:val="32"/>
        </w:rPr>
      </w:pPr>
      <w:r>
        <w:rPr>
          <w:rFonts w:hint="eastAsia" w:ascii="黑体" w:hAnsi="仿宋" w:eastAsia="黑体" w:cs="宋体"/>
          <w:kern w:val="0"/>
          <w:sz w:val="32"/>
          <w:szCs w:val="32"/>
        </w:rPr>
        <w:t>三、项目自评结果</w:t>
      </w:r>
    </w:p>
    <w:p>
      <w:pPr>
        <w:widowControl/>
        <w:spacing w:line="560" w:lineRule="atLeast"/>
        <w:ind w:firstLine="562"/>
        <w:rPr>
          <w:rFonts w:hint="eastAsia" w:ascii="仿宋_GB2312" w:hAnsi="仿宋_GB2312" w:eastAsia="仿宋_GB2312" w:cs="仿宋_GB2312"/>
          <w:sz w:val="32"/>
          <w:szCs w:val="24"/>
          <w:lang w:eastAsia="zh-CN"/>
        </w:rPr>
      </w:pPr>
      <w:r>
        <w:rPr>
          <w:rFonts w:hint="eastAsia" w:ascii="仿宋_GB2312" w:hAnsi="仿宋_GB2312" w:cs="仿宋_GB2312"/>
          <w:kern w:val="0"/>
          <w:sz w:val="32"/>
          <w:szCs w:val="32"/>
        </w:rPr>
        <w:t>按照要求，2023年度我单位对预算绩效指标权重按照预算执行率10%、产出指标50%、效益指标30%、服务对象满意度指标10%进行设置，</w:t>
      </w:r>
      <w:r>
        <w:rPr>
          <w:rFonts w:hint="eastAsia" w:ascii="仿宋_GB2312" w:hAnsi="仿宋_GB2312" w:cs="仿宋_GB2312"/>
          <w:sz w:val="32"/>
          <w:szCs w:val="32"/>
          <w:shd w:val="clear" w:color="auto" w:fill="FFFFFF"/>
        </w:rPr>
        <w:t>在项目资料真实、可靠的基础上，实地查阅相关资料后，经自评得分</w:t>
      </w:r>
      <w:r>
        <w:rPr>
          <w:rFonts w:hint="eastAsia" w:ascii="仿宋_GB2312" w:hAnsi="仿宋_GB2312" w:cs="仿宋_GB2312"/>
          <w:sz w:val="32"/>
          <w:szCs w:val="32"/>
          <w:shd w:val="clear" w:color="auto" w:fill="FFFFFF"/>
          <w:lang w:val="en-US" w:eastAsia="zh-CN"/>
        </w:rPr>
        <w:t>为</w:t>
      </w:r>
      <w:r>
        <w:rPr>
          <w:rFonts w:hint="eastAsia" w:ascii="仿宋_GB2312" w:hAnsi="仿宋_GB2312" w:cs="仿宋_GB2312"/>
          <w:sz w:val="32"/>
          <w:szCs w:val="32"/>
          <w:highlight w:val="none"/>
          <w:shd w:val="clear" w:color="auto" w:fill="FFFFFF"/>
        </w:rPr>
        <w:t>98.91</w:t>
      </w:r>
      <w:r>
        <w:rPr>
          <w:rFonts w:hint="eastAsia" w:ascii="仿宋_GB2312" w:hAnsi="仿宋_GB2312" w:cs="仿宋_GB2312"/>
          <w:sz w:val="32"/>
          <w:szCs w:val="32"/>
          <w:shd w:val="clear" w:color="auto" w:fill="FFFFFF"/>
        </w:rPr>
        <w:t>分，等级为“优”。</w:t>
      </w:r>
      <w:r>
        <w:rPr>
          <w:rFonts w:hint="eastAsia" w:ascii="仿宋_GB2312" w:hAnsi="仿宋_GB2312" w:cs="仿宋_GB2312"/>
          <w:sz w:val="32"/>
          <w:szCs w:val="32"/>
          <w:shd w:val="clear" w:color="auto" w:fill="FFFFFF"/>
          <w:lang w:val="en-US" w:eastAsia="zh-CN"/>
        </w:rPr>
        <w:t>今后</w:t>
      </w:r>
      <w:r>
        <w:rPr>
          <w:rFonts w:hint="eastAsia" w:ascii="仿宋_GB2312" w:hAnsi="仿宋_GB2312" w:cs="仿宋_GB2312"/>
          <w:kern w:val="0"/>
          <w:sz w:val="32"/>
          <w:szCs w:val="32"/>
          <w:shd w:val="clear" w:color="auto" w:fill="FFFFFF"/>
        </w:rPr>
        <w:t>我</w:t>
      </w:r>
      <w:r>
        <w:rPr>
          <w:rFonts w:hint="eastAsia" w:ascii="仿宋_GB2312" w:hAnsi="仿宋_GB2312" w:cs="仿宋_GB2312"/>
          <w:kern w:val="0"/>
          <w:sz w:val="32"/>
          <w:szCs w:val="32"/>
          <w:shd w:val="clear" w:color="auto" w:fill="FFFFFF"/>
          <w:lang w:val="en-US" w:eastAsia="zh-CN"/>
        </w:rPr>
        <w:t>镇</w:t>
      </w:r>
      <w:r>
        <w:rPr>
          <w:rFonts w:hint="eastAsia" w:ascii="仿宋_GB2312" w:hAnsi="仿宋_GB2312" w:cs="仿宋_GB2312"/>
          <w:kern w:val="0"/>
          <w:sz w:val="32"/>
          <w:szCs w:val="32"/>
          <w:shd w:val="clear" w:color="auto" w:fill="FFFFFF"/>
        </w:rPr>
        <w:t>将继续严格执行财务管理制度，</w:t>
      </w:r>
      <w:r>
        <w:rPr>
          <w:rFonts w:hint="eastAsia" w:ascii="仿宋_GB2312" w:hAnsi="仿宋_GB2312" w:eastAsia="仿宋_GB2312" w:cs="仿宋_GB2312"/>
          <w:sz w:val="32"/>
          <w:szCs w:val="24"/>
        </w:rPr>
        <w:t>硬化预算执行约束机制，努力做到有预算不超支，无预算不开支</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聚焦重大决策部署，加强预算绩效管理，完善多元化绩效评价机制，强化绩效</w:t>
      </w:r>
      <w:r>
        <w:rPr>
          <w:rFonts w:hint="eastAsia" w:ascii="仿宋_GB2312" w:hAnsi="仿宋_GB2312" w:eastAsia="仿宋_GB2312" w:cs="仿宋_GB2312"/>
          <w:sz w:val="32"/>
          <w:szCs w:val="24"/>
          <w:lang w:eastAsia="zh-CN"/>
        </w:rPr>
        <w:t>评价</w:t>
      </w:r>
      <w:r>
        <w:rPr>
          <w:rFonts w:hint="eastAsia" w:ascii="仿宋_GB2312" w:hAnsi="仿宋_GB2312" w:eastAsia="仿宋_GB2312" w:cs="仿宋_GB2312"/>
          <w:sz w:val="32"/>
          <w:szCs w:val="24"/>
        </w:rPr>
        <w:t>结果运用</w:t>
      </w:r>
      <w:r>
        <w:rPr>
          <w:rFonts w:hint="eastAsia" w:ascii="仿宋_GB2312" w:hAnsi="仿宋_GB2312" w:cs="仿宋_GB2312"/>
          <w:sz w:val="32"/>
          <w:szCs w:val="24"/>
          <w:lang w:eastAsia="zh-CN"/>
        </w:rPr>
        <w:t>，</w:t>
      </w:r>
      <w:r>
        <w:rPr>
          <w:rFonts w:hint="eastAsia" w:ascii="仿宋_GB2312" w:hAnsi="仿宋_GB2312" w:eastAsia="仿宋_GB2312" w:cs="仿宋_GB2312"/>
          <w:b w:val="0"/>
          <w:bCs w:val="0"/>
          <w:sz w:val="32"/>
          <w:szCs w:val="24"/>
          <w:lang w:val="en-US" w:eastAsia="zh-CN"/>
        </w:rPr>
        <w:t>全面提升预算绩效管理水平</w:t>
      </w:r>
      <w:r>
        <w:rPr>
          <w:rFonts w:hint="eastAsia" w:ascii="仿宋_GB2312" w:hAnsi="仿宋_GB2312" w:eastAsia="仿宋_GB2312" w:cs="仿宋_GB2312"/>
          <w:b w:val="0"/>
          <w:bCs w:val="0"/>
          <w:sz w:val="32"/>
          <w:szCs w:val="24"/>
          <w:lang w:eastAsia="zh-CN"/>
        </w:rPr>
        <w:t>。</w:t>
      </w:r>
    </w:p>
    <w:p>
      <w:pPr>
        <w:pStyle w:val="4"/>
        <w:keepNext w:val="0"/>
        <w:keepLines w:val="0"/>
        <w:pageBreakBefore w:val="0"/>
        <w:shd w:val="clear" w:color="auto" w:fill="FFFFFF"/>
        <w:kinsoku/>
        <w:wordWrap/>
        <w:overflowPunct/>
        <w:topLinePunct w:val="0"/>
        <w:bidi w:val="0"/>
        <w:adjustRightInd/>
        <w:spacing w:before="0" w:beforeAutospacing="0" w:after="0" w:afterAutospacing="0" w:line="560" w:lineRule="exact"/>
        <w:ind w:firstLine="600"/>
        <w:jc w:val="both"/>
        <w:textAlignment w:val="auto"/>
        <w:rPr>
          <w:rFonts w:ascii="黑体" w:hAnsi="仿宋" w:eastAsia="黑体"/>
          <w:sz w:val="32"/>
          <w:szCs w:val="32"/>
        </w:rPr>
      </w:pPr>
      <w:r>
        <w:rPr>
          <w:rFonts w:hint="eastAsia" w:ascii="黑体" w:hAnsi="仿宋" w:eastAsia="黑体"/>
          <w:sz w:val="32"/>
          <w:szCs w:val="32"/>
        </w:rPr>
        <w:t>四、主要经验及做法</w:t>
      </w:r>
    </w:p>
    <w:p>
      <w:pPr>
        <w:pStyle w:val="4"/>
        <w:keepNext w:val="0"/>
        <w:keepLines w:val="0"/>
        <w:pageBreakBefore w:val="0"/>
        <w:shd w:val="clear" w:color="auto" w:fill="FFFFFF"/>
        <w:kinsoku/>
        <w:wordWrap/>
        <w:overflowPunct/>
        <w:topLinePunct w:val="0"/>
        <w:bidi w:val="0"/>
        <w:adjustRightInd/>
        <w:spacing w:before="0" w:beforeAutospacing="0" w:after="0" w:afterAutospacing="0" w:line="560" w:lineRule="exact"/>
        <w:ind w:firstLine="6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通过开展绩效评价，能够清晰的反映出预算项目的执行情况，对部门预算安排有着重要的参考作用。结合项目特点,以后年度预算安排将扣除基本支出，参照历年预算项目明细和实际执行情况，进行细化，</w:t>
      </w:r>
      <w:r>
        <w:rPr>
          <w:rFonts w:hint="eastAsia" w:ascii="仿宋_GB2312" w:hAnsi="仿宋_GB2312" w:eastAsia="仿宋_GB2312" w:cs="仿宋_GB2312"/>
          <w:sz w:val="32"/>
          <w:szCs w:val="32"/>
          <w:shd w:val="clear" w:color="auto" w:fill="FFFFFF"/>
          <w:lang w:val="en-US" w:eastAsia="zh-CN"/>
        </w:rPr>
        <w:t>确保预算编制</w:t>
      </w:r>
      <w:r>
        <w:rPr>
          <w:rFonts w:hint="eastAsia" w:ascii="仿宋_GB2312" w:hAnsi="仿宋_GB2312" w:eastAsia="仿宋_GB2312" w:cs="仿宋_GB2312"/>
          <w:sz w:val="32"/>
          <w:szCs w:val="32"/>
          <w:shd w:val="clear" w:color="auto" w:fill="FFFFFF"/>
        </w:rPr>
        <w:t>的科学性和合理性。</w:t>
      </w:r>
    </w:p>
    <w:p>
      <w:pPr>
        <w:pStyle w:val="4"/>
        <w:keepNext w:val="0"/>
        <w:keepLines w:val="0"/>
        <w:pageBreakBefore w:val="0"/>
        <w:shd w:val="clear" w:color="auto" w:fill="FFFFFF"/>
        <w:kinsoku/>
        <w:wordWrap/>
        <w:overflowPunct/>
        <w:topLinePunct w:val="0"/>
        <w:bidi w:val="0"/>
        <w:adjustRightInd/>
        <w:spacing w:before="0" w:beforeAutospacing="0" w:after="0" w:afterAutospacing="0" w:line="560" w:lineRule="exact"/>
        <w:ind w:firstLine="600"/>
        <w:jc w:val="both"/>
        <w:textAlignment w:val="auto"/>
        <w:rPr>
          <w:rFonts w:ascii="仿宋_GB2312" w:hAnsi="仿宋_GB2312" w:eastAsia="仿宋_GB2312" w:cs="仿宋_GB2312"/>
          <w:sz w:val="32"/>
          <w:szCs w:val="32"/>
          <w:shd w:val="clear" w:color="auto" w:fill="FFFFFF"/>
        </w:rPr>
      </w:pPr>
      <w:r>
        <w:rPr>
          <w:rFonts w:hint="eastAsia" w:ascii="楷体_GB2312" w:hAnsi="楷体_GB2312" w:eastAsia="楷体_GB2312" w:cs="楷体_GB2312"/>
          <w:b/>
          <w:bCs/>
          <w:kern w:val="2"/>
          <w:sz w:val="32"/>
          <w:szCs w:val="32"/>
          <w:lang w:val="en-US" w:eastAsia="zh-CN"/>
        </w:rPr>
        <w:t>1</w:t>
      </w:r>
      <w:r>
        <w:rPr>
          <w:rFonts w:hint="eastAsia" w:ascii="楷体_GB2312" w:hAnsi="楷体_GB2312" w:eastAsia="楷体_GB2312" w:cs="楷体_GB2312"/>
          <w:b/>
          <w:bCs/>
          <w:kern w:val="2"/>
          <w:sz w:val="32"/>
          <w:szCs w:val="32"/>
        </w:rPr>
        <w:t>.规范资金使用，提高资金使用效率。</w:t>
      </w:r>
      <w:r>
        <w:rPr>
          <w:rFonts w:hint="eastAsia" w:ascii="仿宋_GB2312" w:hAnsi="仿宋_GB2312" w:eastAsia="仿宋_GB2312" w:cs="仿宋_GB2312"/>
          <w:sz w:val="32"/>
          <w:szCs w:val="32"/>
          <w:shd w:val="clear" w:color="auto" w:fill="FFFFFF"/>
          <w:lang w:val="en-US" w:eastAsia="zh-CN"/>
        </w:rPr>
        <w:t>完善专项资金</w:t>
      </w:r>
      <w:r>
        <w:rPr>
          <w:rFonts w:hint="eastAsia" w:ascii="仿宋_GB2312" w:hAnsi="仿宋_GB2312" w:eastAsia="仿宋_GB2312" w:cs="仿宋_GB2312"/>
          <w:sz w:val="32"/>
          <w:szCs w:val="32"/>
          <w:shd w:val="clear" w:color="auto" w:fill="FFFFFF"/>
        </w:rPr>
        <w:t>管理办法，</w:t>
      </w:r>
      <w:r>
        <w:rPr>
          <w:rFonts w:hint="eastAsia" w:ascii="仿宋_GB2312" w:hAnsi="仿宋_GB2312" w:eastAsia="仿宋_GB2312" w:cs="仿宋_GB2312"/>
          <w:sz w:val="32"/>
          <w:szCs w:val="32"/>
          <w:shd w:val="clear" w:color="auto" w:fill="FFFFFF"/>
          <w:lang w:val="en-US" w:eastAsia="zh-CN"/>
        </w:rPr>
        <w:t>坚持专款专用</w:t>
      </w:r>
      <w:r>
        <w:rPr>
          <w:rFonts w:hint="eastAsia" w:ascii="仿宋_GB2312" w:hAnsi="仿宋_GB2312" w:eastAsia="仿宋_GB2312" w:cs="仿宋_GB2312"/>
          <w:sz w:val="32"/>
          <w:szCs w:val="32"/>
          <w:shd w:val="clear" w:color="auto" w:fill="FFFFFF"/>
        </w:rPr>
        <w:t>，增强资金使用的透明度，严禁虚报</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挤占</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挪用</w:t>
      </w:r>
      <w:r>
        <w:rPr>
          <w:rFonts w:hint="eastAsia" w:ascii="仿宋_GB2312" w:hAnsi="仿宋_GB2312" w:eastAsia="仿宋_GB2312" w:cs="仿宋_GB2312"/>
          <w:sz w:val="32"/>
          <w:szCs w:val="32"/>
          <w:shd w:val="clear" w:color="auto" w:fill="FFFFFF"/>
          <w:lang w:val="en-US" w:eastAsia="zh-CN"/>
        </w:rPr>
        <w:t>资金</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确保资金使用合法合规</w:t>
      </w:r>
      <w:r>
        <w:rPr>
          <w:rFonts w:hint="eastAsia" w:ascii="仿宋_GB2312" w:hAnsi="仿宋_GB2312" w:eastAsia="仿宋_GB2312" w:cs="仿宋_GB2312"/>
          <w:sz w:val="32"/>
          <w:szCs w:val="32"/>
          <w:shd w:val="clear" w:color="auto" w:fill="FFFFFF"/>
        </w:rPr>
        <w:t>。</w:t>
      </w:r>
    </w:p>
    <w:p>
      <w:pPr>
        <w:pStyle w:val="4"/>
        <w:keepNext w:val="0"/>
        <w:keepLines w:val="0"/>
        <w:pageBreakBefore w:val="0"/>
        <w:shd w:val="clear" w:color="auto" w:fill="FFFFFF"/>
        <w:kinsoku/>
        <w:wordWrap/>
        <w:overflowPunct/>
        <w:topLinePunct w:val="0"/>
        <w:bidi w:val="0"/>
        <w:adjustRightInd/>
        <w:spacing w:before="0" w:beforeAutospacing="0" w:after="0" w:afterAutospacing="0" w:line="560" w:lineRule="exact"/>
        <w:ind w:firstLine="600"/>
        <w:jc w:val="both"/>
        <w:textAlignment w:val="auto"/>
        <w:rPr>
          <w:rFonts w:ascii="仿宋_GB2312" w:hAnsi="仿宋_GB2312" w:eastAsia="仿宋_GB2312" w:cs="仿宋_GB2312"/>
          <w:sz w:val="32"/>
          <w:szCs w:val="32"/>
          <w:shd w:val="clear" w:color="auto" w:fill="FFFFFF"/>
        </w:rPr>
      </w:pPr>
      <w:r>
        <w:rPr>
          <w:rFonts w:hint="eastAsia" w:ascii="楷体_GB2312" w:hAnsi="楷体_GB2312" w:eastAsia="楷体_GB2312" w:cs="楷体_GB2312"/>
          <w:b/>
          <w:bCs/>
          <w:kern w:val="2"/>
          <w:sz w:val="32"/>
          <w:szCs w:val="32"/>
          <w:lang w:val="en-US" w:eastAsia="zh-CN"/>
        </w:rPr>
        <w:t>2</w:t>
      </w:r>
      <w:r>
        <w:rPr>
          <w:rFonts w:hint="eastAsia" w:ascii="楷体_GB2312" w:hAnsi="楷体_GB2312" w:eastAsia="楷体_GB2312" w:cs="楷体_GB2312"/>
          <w:b/>
          <w:bCs/>
          <w:kern w:val="2"/>
          <w:sz w:val="32"/>
          <w:szCs w:val="32"/>
        </w:rPr>
        <w:t>、加强部门预算项目管理质量的控制。</w:t>
      </w:r>
      <w:r>
        <w:rPr>
          <w:rFonts w:hint="eastAsia" w:ascii="仿宋_GB2312" w:hAnsi="仿宋_GB2312" w:eastAsia="仿宋_GB2312" w:cs="仿宋_GB2312"/>
          <w:sz w:val="32"/>
          <w:szCs w:val="32"/>
          <w:shd w:val="clear" w:color="auto" w:fill="FFFFFF"/>
        </w:rPr>
        <w:t>加强对项目的动态监管，制定科学的绩效考评指标，对项目具体实施过程、项目产出、效益和满意度进行全过程的监控，确保项目资金能够高效及时的运用在相关项目上，保证项目的正常开展，</w:t>
      </w:r>
      <w:r>
        <w:rPr>
          <w:rFonts w:hint="eastAsia" w:ascii="仿宋_GB2312" w:hAnsi="仿宋_GB2312" w:eastAsia="仿宋_GB2312" w:cs="仿宋_GB2312"/>
          <w:sz w:val="32"/>
          <w:szCs w:val="32"/>
          <w:shd w:val="clear" w:color="auto" w:fill="FFFFFF"/>
          <w:lang w:val="en-US" w:eastAsia="zh-CN"/>
        </w:rPr>
        <w:t>顺利</w:t>
      </w:r>
      <w:r>
        <w:rPr>
          <w:rFonts w:hint="eastAsia" w:ascii="仿宋_GB2312" w:hAnsi="仿宋_GB2312" w:eastAsia="仿宋_GB2312" w:cs="仿宋_GB2312"/>
          <w:sz w:val="32"/>
          <w:szCs w:val="32"/>
          <w:shd w:val="clear" w:color="auto" w:fill="FFFFFF"/>
        </w:rPr>
        <w:t>完成项目</w:t>
      </w:r>
      <w:r>
        <w:rPr>
          <w:rFonts w:hint="eastAsia" w:ascii="仿宋_GB2312" w:hAnsi="仿宋_GB2312" w:eastAsia="仿宋_GB2312" w:cs="仿宋_GB2312"/>
          <w:sz w:val="32"/>
          <w:szCs w:val="32"/>
          <w:shd w:val="clear" w:color="auto" w:fill="FFFFFF"/>
          <w:lang w:val="en-US" w:eastAsia="zh-CN"/>
        </w:rPr>
        <w:t>绩效</w:t>
      </w:r>
      <w:r>
        <w:rPr>
          <w:rFonts w:hint="eastAsia" w:ascii="仿宋_GB2312" w:hAnsi="仿宋_GB2312" w:eastAsia="仿宋_GB2312" w:cs="仿宋_GB2312"/>
          <w:sz w:val="32"/>
          <w:szCs w:val="32"/>
          <w:shd w:val="clear" w:color="auto" w:fill="FFFFFF"/>
        </w:rPr>
        <w:t>目标。</w:t>
      </w:r>
    </w:p>
    <w:p>
      <w:pPr>
        <w:pStyle w:val="4"/>
        <w:keepNext w:val="0"/>
        <w:keepLines w:val="0"/>
        <w:pageBreakBefore w:val="0"/>
        <w:shd w:val="clear" w:color="auto" w:fill="FFFFFF"/>
        <w:kinsoku/>
        <w:wordWrap/>
        <w:overflowPunct/>
        <w:topLinePunct w:val="0"/>
        <w:bidi w:val="0"/>
        <w:adjustRightInd/>
        <w:spacing w:before="0" w:beforeAutospacing="0" w:after="0" w:afterAutospacing="0" w:line="560" w:lineRule="exact"/>
        <w:ind w:firstLine="600"/>
        <w:jc w:val="both"/>
        <w:textAlignment w:val="auto"/>
        <w:rPr>
          <w:rFonts w:ascii="仿宋_GB2312" w:hAnsi="仿宋_GB2312" w:eastAsia="仿宋_GB2312" w:cs="仿宋_GB2312"/>
          <w:sz w:val="32"/>
          <w:szCs w:val="32"/>
          <w:shd w:val="clear" w:color="auto" w:fill="FFFFFF"/>
        </w:rPr>
      </w:pPr>
      <w:r>
        <w:rPr>
          <w:rFonts w:hint="eastAsia" w:ascii="楷体_GB2312" w:hAnsi="楷体_GB2312" w:eastAsia="楷体_GB2312" w:cs="楷体_GB2312"/>
          <w:b/>
          <w:bCs/>
          <w:kern w:val="2"/>
          <w:sz w:val="32"/>
          <w:szCs w:val="32"/>
          <w:lang w:val="en-US" w:eastAsia="zh-CN"/>
        </w:rPr>
        <w:t>3</w:t>
      </w:r>
      <w:r>
        <w:rPr>
          <w:rFonts w:hint="eastAsia" w:ascii="楷体_GB2312" w:hAnsi="楷体_GB2312" w:eastAsia="楷体_GB2312" w:cs="楷体_GB2312"/>
          <w:b/>
          <w:bCs/>
          <w:kern w:val="2"/>
          <w:sz w:val="32"/>
          <w:szCs w:val="32"/>
        </w:rPr>
        <w:t>、加强对项目实施的分析力度，查缺补漏。</w:t>
      </w:r>
      <w:r>
        <w:rPr>
          <w:rFonts w:hint="eastAsia" w:ascii="仿宋_GB2312" w:hAnsi="仿宋_GB2312" w:eastAsia="仿宋_GB2312" w:cs="仿宋_GB2312"/>
          <w:sz w:val="32"/>
          <w:szCs w:val="32"/>
          <w:shd w:val="clear" w:color="auto" w:fill="FFFFFF"/>
        </w:rPr>
        <w:t>通过年度预算安排，对项目实施过程中的成本，绩效目标、绩效指标、实施，进行绩效跟踪，使项目管理能达到年度目标任务要求。在项目实施过程中定期地</w:t>
      </w:r>
      <w:r>
        <w:rPr>
          <w:rFonts w:hint="eastAsia" w:ascii="仿宋_GB2312" w:hAnsi="仿宋_GB2312" w:eastAsia="仿宋_GB2312" w:cs="仿宋_GB2312"/>
          <w:sz w:val="32"/>
          <w:szCs w:val="32"/>
          <w:shd w:val="clear" w:color="auto" w:fill="FFFFFF"/>
          <w:lang w:val="en-US" w:eastAsia="zh-CN"/>
        </w:rPr>
        <w:t>将</w:t>
      </w:r>
      <w:r>
        <w:rPr>
          <w:rFonts w:hint="eastAsia" w:ascii="仿宋_GB2312" w:hAnsi="仿宋_GB2312" w:eastAsia="仿宋_GB2312" w:cs="仿宋_GB2312"/>
          <w:sz w:val="32"/>
          <w:szCs w:val="32"/>
          <w:shd w:val="clear" w:color="auto" w:fill="FFFFFF"/>
        </w:rPr>
        <w:t>实际进度值与目标值的比较，找出两者之间的偏差，分析产生原因，通过采取有效措施加以控制，以保证进度控制目标的实现。</w:t>
      </w:r>
    </w:p>
    <w:p>
      <w:pPr>
        <w:keepNext w:val="0"/>
        <w:keepLines w:val="0"/>
        <w:pageBreakBefore w:val="0"/>
        <w:kinsoku/>
        <w:wordWrap/>
        <w:overflowPunct/>
        <w:topLinePunct w:val="0"/>
        <w:bidi w:val="0"/>
        <w:adjustRightInd/>
        <w:snapToGrid w:val="0"/>
        <w:spacing w:line="560" w:lineRule="exact"/>
        <w:ind w:firstLine="660"/>
        <w:textAlignment w:val="auto"/>
        <w:rPr>
          <w:rFonts w:ascii="黑体" w:hAnsi="仿宋" w:eastAsia="黑体" w:cs="宋体"/>
          <w:kern w:val="0"/>
          <w:sz w:val="32"/>
          <w:szCs w:val="32"/>
        </w:rPr>
      </w:pPr>
      <w:r>
        <w:rPr>
          <w:rFonts w:hint="eastAsia" w:ascii="黑体" w:hAnsi="仿宋" w:eastAsia="黑体" w:cs="宋体"/>
          <w:kern w:val="0"/>
          <w:sz w:val="32"/>
          <w:szCs w:val="32"/>
        </w:rPr>
        <w:t>五、绩效自评发现的主要问题</w:t>
      </w:r>
    </w:p>
    <w:p>
      <w:pPr>
        <w:keepNext w:val="0"/>
        <w:keepLines w:val="0"/>
        <w:pageBreakBefore w:val="0"/>
        <w:kinsoku/>
        <w:wordWrap/>
        <w:overflowPunct/>
        <w:topLinePunct w:val="0"/>
        <w:bidi w:val="0"/>
        <w:adjustRightIn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1.2023年度，绩效自评主要存在以下几个问题：</w:t>
      </w:r>
    </w:p>
    <w:p>
      <w:pPr>
        <w:pStyle w:val="4"/>
        <w:keepNext w:val="0"/>
        <w:keepLines w:val="0"/>
        <w:pageBreakBefore w:val="0"/>
        <w:shd w:val="clear" w:color="auto" w:fill="FFFFFF"/>
        <w:kinsoku/>
        <w:wordWrap/>
        <w:overflowPunct/>
        <w:topLinePunct w:val="0"/>
        <w:bidi w:val="0"/>
        <w:adjustRightInd/>
        <w:spacing w:before="0" w:beforeAutospacing="0" w:after="0" w:afterAutospacing="0" w:line="560" w:lineRule="exact"/>
        <w:ind w:firstLine="6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（1）产出指标存在的问题及原因分析：项目总成本等于预算金额，主要原因是实施过程中未按照厉行节约的原则压缩支出、控制成本。</w:t>
      </w:r>
    </w:p>
    <w:p>
      <w:pPr>
        <w:pStyle w:val="4"/>
        <w:keepNext w:val="0"/>
        <w:keepLines w:val="0"/>
        <w:pageBreakBefore w:val="0"/>
        <w:shd w:val="clear" w:color="auto" w:fill="FFFFFF"/>
        <w:kinsoku/>
        <w:wordWrap/>
        <w:overflowPunct/>
        <w:topLinePunct w:val="0"/>
        <w:bidi w:val="0"/>
        <w:adjustRightInd/>
        <w:spacing w:before="0" w:beforeAutospacing="0" w:after="0" w:afterAutospacing="0" w:line="560" w:lineRule="exact"/>
        <w:ind w:firstLine="6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社会效益指标存在的问题及原因分析：对提高农业技术农村政策进镇宣讲覆盖面的影响程度较好但仍存在一点问题，主要原因是宣传方式比较单一，内容比较宽泛，涉及群体面较少；农业新技术新品种普及率可持续发展存在一丝影响，主要原因是因土壤地势原因，所涉及的农作物种类有限。</w:t>
      </w:r>
    </w:p>
    <w:p>
      <w:pPr>
        <w:pStyle w:val="4"/>
        <w:keepNext w:val="0"/>
        <w:keepLines w:val="0"/>
        <w:pageBreakBefore w:val="0"/>
        <w:shd w:val="clear" w:color="auto" w:fill="FFFFFF"/>
        <w:kinsoku/>
        <w:wordWrap/>
        <w:overflowPunct/>
        <w:topLinePunct w:val="0"/>
        <w:bidi w:val="0"/>
        <w:adjustRightInd/>
        <w:spacing w:before="0" w:beforeAutospacing="0" w:after="0" w:afterAutospacing="0" w:line="560" w:lineRule="exact"/>
        <w:ind w:firstLine="600"/>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（3）生态效益指标存在的问题及原因分析：人居环境指数（美丽</w:t>
      </w:r>
      <w:r>
        <w:rPr>
          <w:rFonts w:hint="eastAsia" w:ascii="仿宋_GB2312" w:hAnsi="仿宋_GB2312" w:eastAsia="仿宋_GB2312" w:cs="仿宋_GB2312"/>
          <w:sz w:val="32"/>
          <w:szCs w:val="32"/>
          <w:shd w:val="clear" w:color="auto" w:fill="FFFFFF"/>
          <w:lang w:eastAsia="zh-CN"/>
        </w:rPr>
        <w:t>乡村</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卫生</w:t>
      </w:r>
      <w:r>
        <w:rPr>
          <w:rFonts w:hint="eastAsia" w:ascii="仿宋_GB2312" w:hAnsi="仿宋_GB2312" w:eastAsia="仿宋_GB2312" w:cs="仿宋_GB2312"/>
          <w:sz w:val="32"/>
          <w:szCs w:val="32"/>
          <w:shd w:val="clear" w:color="auto" w:fill="FFFFFF"/>
        </w:rPr>
        <w:t>改厕等）不高，主要原因是本镇居民大多数以老年人为主要群体，且有些地区因地势原因项目</w:t>
      </w:r>
      <w:r>
        <w:rPr>
          <w:rFonts w:hint="eastAsia" w:ascii="仿宋_GB2312" w:hAnsi="仿宋_GB2312" w:eastAsia="仿宋_GB2312" w:cs="仿宋_GB2312"/>
          <w:sz w:val="32"/>
          <w:szCs w:val="32"/>
          <w:shd w:val="clear" w:color="auto" w:fill="FFFFFF"/>
          <w:lang w:eastAsia="zh-CN"/>
        </w:rPr>
        <w:t>实施难度大，</w:t>
      </w:r>
      <w:r>
        <w:rPr>
          <w:rFonts w:hint="eastAsia" w:ascii="仿宋_GB2312" w:hAnsi="仿宋_GB2312" w:eastAsia="仿宋_GB2312" w:cs="仿宋_GB2312"/>
          <w:sz w:val="32"/>
          <w:szCs w:val="32"/>
          <w:shd w:val="clear" w:color="auto" w:fill="FFFFFF"/>
        </w:rPr>
        <w:t>美丽</w:t>
      </w:r>
      <w:r>
        <w:rPr>
          <w:rFonts w:hint="eastAsia" w:ascii="仿宋_GB2312" w:hAnsi="仿宋_GB2312" w:eastAsia="仿宋_GB2312" w:cs="仿宋_GB2312"/>
          <w:sz w:val="32"/>
          <w:szCs w:val="32"/>
          <w:shd w:val="clear" w:color="auto" w:fill="FFFFFF"/>
          <w:lang w:eastAsia="zh-CN"/>
        </w:rPr>
        <w:t>乡村</w:t>
      </w:r>
      <w:r>
        <w:rPr>
          <w:rFonts w:hint="eastAsia" w:ascii="仿宋_GB2312" w:hAnsi="仿宋_GB2312" w:eastAsia="仿宋_GB2312" w:cs="仿宋_GB2312"/>
          <w:sz w:val="32"/>
          <w:szCs w:val="32"/>
          <w:shd w:val="clear" w:color="auto" w:fill="FFFFFF"/>
        </w:rPr>
        <w:t>建设较为困难，维护建设成果较为不易。</w:t>
      </w:r>
    </w:p>
    <w:p>
      <w:pPr>
        <w:keepNext w:val="0"/>
        <w:keepLines w:val="0"/>
        <w:pageBreakBefore w:val="0"/>
        <w:kinsoku/>
        <w:wordWrap/>
        <w:overflowPunct/>
        <w:topLinePunct w:val="0"/>
        <w:bidi w:val="0"/>
        <w:adjustRightIn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2.自评结果通报反馈</w:t>
      </w:r>
    </w:p>
    <w:p>
      <w:pPr>
        <w:keepNext w:val="0"/>
        <w:keepLines w:val="0"/>
        <w:pageBreakBefore w:val="0"/>
        <w:kinsoku/>
        <w:wordWrap/>
        <w:overflowPunct/>
        <w:topLinePunct w:val="0"/>
        <w:bidi w:val="0"/>
        <w:adjustRightInd/>
        <w:spacing w:line="560" w:lineRule="exact"/>
        <w:ind w:firstLine="640" w:firstLineChars="200"/>
        <w:textAlignment w:val="auto"/>
        <w:rPr>
          <w:rFonts w:ascii="仿宋_GB2312" w:hAnsi="仿宋_GB2312" w:cs="仿宋_GB2312"/>
          <w:kern w:val="0"/>
          <w:sz w:val="32"/>
          <w:szCs w:val="32"/>
        </w:rPr>
      </w:pPr>
      <w:r>
        <w:rPr>
          <w:rFonts w:hint="eastAsia" w:ascii="仿宋_GB2312" w:hAnsi="仿宋_GB2312" w:cs="仿宋_GB2312"/>
          <w:kern w:val="0"/>
          <w:sz w:val="32"/>
          <w:szCs w:val="32"/>
        </w:rPr>
        <w:t>根据《歙县财政局关于开展2023年度县级预算支出绩效单位自评和部门评价工作的通知》（财监</w:t>
      </w:r>
      <w:r>
        <w:rPr>
          <w:rFonts w:hint="eastAsia" w:ascii="微软雅黑" w:hAnsi="微软雅黑" w:eastAsia="微软雅黑" w:cs="微软雅黑"/>
          <w:kern w:val="0"/>
          <w:sz w:val="32"/>
          <w:szCs w:val="32"/>
          <w:lang w:eastAsia="zh-CN"/>
        </w:rPr>
        <w:t>〔</w:t>
      </w:r>
      <w:r>
        <w:rPr>
          <w:rFonts w:hint="eastAsia" w:ascii="仿宋_GB2312" w:hAnsi="仿宋_GB2312" w:cs="仿宋_GB2312"/>
          <w:kern w:val="0"/>
          <w:sz w:val="32"/>
          <w:szCs w:val="32"/>
        </w:rPr>
        <w:t>2024</w:t>
      </w:r>
      <w:r>
        <w:rPr>
          <w:rFonts w:hint="eastAsia" w:ascii="微软雅黑" w:hAnsi="微软雅黑" w:eastAsia="微软雅黑" w:cs="微软雅黑"/>
          <w:kern w:val="0"/>
          <w:sz w:val="32"/>
          <w:szCs w:val="32"/>
          <w:lang w:eastAsia="zh-CN"/>
        </w:rPr>
        <w:t>〕</w:t>
      </w:r>
      <w:r>
        <w:rPr>
          <w:rFonts w:hint="eastAsia" w:ascii="仿宋_GB2312" w:hAnsi="仿宋_GB2312" w:cs="仿宋_GB2312"/>
          <w:kern w:val="0"/>
          <w:sz w:val="32"/>
          <w:szCs w:val="32"/>
        </w:rPr>
        <w:t>50号）和《歙县项目支出绩效财政评价和部门评价操作规程》（财预</w:t>
      </w:r>
      <w:r>
        <w:rPr>
          <w:rFonts w:hint="eastAsia" w:ascii="微软雅黑" w:hAnsi="微软雅黑" w:eastAsia="微软雅黑" w:cs="微软雅黑"/>
          <w:kern w:val="0"/>
          <w:sz w:val="32"/>
          <w:szCs w:val="32"/>
          <w:lang w:eastAsia="zh-CN"/>
        </w:rPr>
        <w:t>〔</w:t>
      </w:r>
      <w:r>
        <w:rPr>
          <w:rFonts w:hint="eastAsia" w:ascii="仿宋_GB2312" w:hAnsi="仿宋_GB2312" w:cs="仿宋_GB2312"/>
          <w:kern w:val="0"/>
          <w:sz w:val="32"/>
          <w:szCs w:val="32"/>
        </w:rPr>
        <w:t>2021</w:t>
      </w:r>
      <w:r>
        <w:rPr>
          <w:rFonts w:hint="eastAsia" w:ascii="微软雅黑" w:hAnsi="微软雅黑" w:eastAsia="微软雅黑" w:cs="微软雅黑"/>
          <w:kern w:val="0"/>
          <w:sz w:val="32"/>
          <w:szCs w:val="32"/>
          <w:lang w:eastAsia="zh-CN"/>
        </w:rPr>
        <w:t>〕</w:t>
      </w:r>
      <w:r>
        <w:rPr>
          <w:rFonts w:hint="eastAsia" w:ascii="仿宋_GB2312" w:hAnsi="仿宋_GB2312" w:cs="仿宋_GB2312"/>
          <w:kern w:val="0"/>
          <w:sz w:val="32"/>
          <w:szCs w:val="32"/>
        </w:rPr>
        <w:t>67号）文件</w:t>
      </w:r>
      <w:r>
        <w:rPr>
          <w:rFonts w:hint="eastAsia" w:ascii="仿宋_GB2312" w:hAnsi="仿宋_GB2312" w:cs="仿宋_GB2312"/>
          <w:kern w:val="0"/>
          <w:sz w:val="32"/>
          <w:szCs w:val="32"/>
          <w:lang w:eastAsia="zh-CN"/>
        </w:rPr>
        <w:t>要求</w:t>
      </w:r>
      <w:r>
        <w:rPr>
          <w:rFonts w:hint="eastAsia" w:ascii="仿宋_GB2312" w:hAnsi="仿宋_GB2312" w:cs="仿宋_GB2312"/>
          <w:kern w:val="0"/>
          <w:sz w:val="32"/>
          <w:szCs w:val="32"/>
        </w:rPr>
        <w:t>，三阳镇将压实预算绩效管理主体责任，</w:t>
      </w:r>
      <w:r>
        <w:rPr>
          <w:rFonts w:hint="eastAsia" w:ascii="仿宋_GB2312" w:hAnsi="仿宋_GB2312" w:cs="仿宋_GB2312"/>
          <w:kern w:val="0"/>
          <w:sz w:val="32"/>
          <w:szCs w:val="32"/>
          <w:lang w:eastAsia="zh-CN"/>
        </w:rPr>
        <w:t>按时</w:t>
      </w:r>
      <w:r>
        <w:rPr>
          <w:rFonts w:hint="eastAsia" w:ascii="仿宋_GB2312" w:hAnsi="仿宋_GB2312" w:cs="仿宋_GB2312"/>
          <w:kern w:val="0"/>
          <w:sz w:val="32"/>
          <w:szCs w:val="32"/>
        </w:rPr>
        <w:t>将本次绩效评价材料报送至</w:t>
      </w:r>
      <w:r>
        <w:rPr>
          <w:rFonts w:hint="eastAsia" w:ascii="仿宋_GB2312" w:hAnsi="仿宋_GB2312" w:cs="仿宋_GB2312"/>
          <w:kern w:val="0"/>
          <w:sz w:val="32"/>
          <w:szCs w:val="32"/>
          <w:lang w:eastAsia="zh-CN"/>
        </w:rPr>
        <w:t>县</w:t>
      </w:r>
      <w:r>
        <w:rPr>
          <w:rFonts w:hint="eastAsia" w:ascii="仿宋_GB2312" w:hAnsi="仿宋_GB2312" w:cs="仿宋_GB2312"/>
          <w:kern w:val="0"/>
          <w:sz w:val="32"/>
          <w:szCs w:val="32"/>
        </w:rPr>
        <w:t>财政局财监股，并在全体镇村干部大会做专题通报。</w:t>
      </w:r>
    </w:p>
    <w:p>
      <w:pPr>
        <w:keepNext w:val="0"/>
        <w:keepLines w:val="0"/>
        <w:pageBreakBefore w:val="0"/>
        <w:kinsoku/>
        <w:wordWrap/>
        <w:overflowPunct/>
        <w:topLinePunct w:val="0"/>
        <w:bidi w:val="0"/>
        <w:adjustRightInd/>
        <w:spacing w:line="560" w:lineRule="exact"/>
        <w:ind w:firstLine="640" w:firstLineChars="200"/>
        <w:textAlignment w:val="auto"/>
        <w:rPr>
          <w:rFonts w:ascii="黑体" w:hAnsi="仿宋" w:eastAsia="黑体" w:cs="宋体"/>
          <w:kern w:val="0"/>
          <w:sz w:val="32"/>
          <w:szCs w:val="32"/>
        </w:rPr>
      </w:pPr>
      <w:r>
        <w:rPr>
          <w:rFonts w:hint="eastAsia" w:ascii="黑体" w:hAnsi="仿宋" w:eastAsia="黑体" w:cs="宋体"/>
          <w:kern w:val="0"/>
          <w:sz w:val="32"/>
          <w:szCs w:val="32"/>
        </w:rPr>
        <w:t>六、有关建议</w:t>
      </w:r>
    </w:p>
    <w:p>
      <w:pPr>
        <w:pStyle w:val="4"/>
        <w:keepNext w:val="0"/>
        <w:keepLines w:val="0"/>
        <w:pageBreakBefore w:val="0"/>
        <w:shd w:val="clear" w:color="auto" w:fill="FFFFFF"/>
        <w:kinsoku/>
        <w:wordWrap/>
        <w:overflowPunct/>
        <w:topLinePunct w:val="0"/>
        <w:bidi w:val="0"/>
        <w:adjustRightInd/>
        <w:spacing w:before="0" w:beforeAutospacing="0" w:after="0" w:afterAutospacing="0" w:line="560" w:lineRule="exact"/>
        <w:ind w:firstLine="6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我镇</w:t>
      </w:r>
      <w:r>
        <w:rPr>
          <w:rFonts w:hint="eastAsia" w:ascii="仿宋_GB2312" w:hAnsi="仿宋_GB2312" w:eastAsia="仿宋_GB2312" w:cs="仿宋_GB2312"/>
          <w:sz w:val="32"/>
          <w:szCs w:val="32"/>
          <w:shd w:val="clear" w:color="auto" w:fill="FFFFFF"/>
        </w:rPr>
        <w:t>针对2023年绩效评价中未达标的项目和存在的问题及时进行整改，提出改进措施：</w:t>
      </w:r>
    </w:p>
    <w:p>
      <w:pPr>
        <w:pStyle w:val="4"/>
        <w:keepNext w:val="0"/>
        <w:keepLines w:val="0"/>
        <w:pageBreakBefore w:val="0"/>
        <w:shd w:val="clear" w:color="auto" w:fill="FFFFFF"/>
        <w:kinsoku/>
        <w:wordWrap/>
        <w:overflowPunct/>
        <w:topLinePunct w:val="0"/>
        <w:bidi w:val="0"/>
        <w:adjustRightInd/>
        <w:spacing w:before="0" w:beforeAutospacing="0" w:after="0" w:afterAutospacing="0" w:line="560" w:lineRule="exact"/>
        <w:ind w:firstLine="600"/>
        <w:jc w:val="both"/>
        <w:textAlignment w:val="auto"/>
        <w:rPr>
          <w:rFonts w:ascii="仿宋_GB2312" w:hAnsi="仿宋_GB2312" w:eastAsia="仿宋_GB2312" w:cs="仿宋_GB2312"/>
          <w:sz w:val="32"/>
          <w:szCs w:val="32"/>
          <w:shd w:val="clear" w:color="auto" w:fill="FFFFFF"/>
        </w:rPr>
      </w:pPr>
      <w:r>
        <w:rPr>
          <w:rFonts w:hint="eastAsia" w:ascii="楷体_GB2312" w:hAnsi="楷体_GB2312" w:eastAsia="楷体_GB2312" w:cs="楷体_GB2312"/>
          <w:b/>
          <w:bCs/>
          <w:kern w:val="2"/>
          <w:sz w:val="32"/>
          <w:szCs w:val="32"/>
        </w:rPr>
        <w:t>1、加强项目成本控制。</w:t>
      </w:r>
      <w:r>
        <w:rPr>
          <w:rFonts w:hint="eastAsia" w:ascii="仿宋_GB2312" w:hAnsi="仿宋_GB2312" w:eastAsia="仿宋_GB2312" w:cs="仿宋_GB2312"/>
          <w:sz w:val="32"/>
          <w:szCs w:val="32"/>
          <w:shd w:val="clear" w:color="auto" w:fill="FFFFFF"/>
        </w:rPr>
        <w:t>项目实施过程中要秉持厉行节约的原则压缩支出、控制成本，实时监测项目流程。成本预算要结合实际业务支出情况适当放宽相关成本，保证业务的正产有序开展。</w:t>
      </w:r>
    </w:p>
    <w:p>
      <w:pPr>
        <w:pStyle w:val="4"/>
        <w:keepNext w:val="0"/>
        <w:keepLines w:val="0"/>
        <w:pageBreakBefore w:val="0"/>
        <w:shd w:val="clear" w:color="auto" w:fill="FFFFFF"/>
        <w:kinsoku/>
        <w:wordWrap/>
        <w:overflowPunct/>
        <w:topLinePunct w:val="0"/>
        <w:bidi w:val="0"/>
        <w:adjustRightInd/>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shd w:val="clear" w:color="auto" w:fill="FFFFFF"/>
        </w:rPr>
      </w:pPr>
      <w:r>
        <w:rPr>
          <w:rFonts w:hint="eastAsia" w:ascii="楷体_GB2312" w:hAnsi="楷体_GB2312" w:eastAsia="楷体_GB2312" w:cs="楷体_GB2312"/>
          <w:b/>
          <w:bCs/>
          <w:kern w:val="2"/>
          <w:sz w:val="32"/>
          <w:szCs w:val="32"/>
        </w:rPr>
        <w:t>2、丰富宣传方式。</w:t>
      </w:r>
      <w:r>
        <w:rPr>
          <w:rFonts w:hint="eastAsia" w:ascii="仿宋_GB2312" w:hAnsi="仿宋_GB2312" w:eastAsia="仿宋_GB2312" w:cs="仿宋_GB2312"/>
          <w:sz w:val="32"/>
          <w:szCs w:val="32"/>
          <w:shd w:val="clear" w:color="auto" w:fill="FFFFFF"/>
        </w:rPr>
        <w:t>结合当地群体优势，利用横幅、宣传单、广播等方式进行农技等方面的宣传，加强村民对农业技术、新农业产品的认识，进一步提升我镇农业发展水平，实现产业</w:t>
      </w:r>
      <w:r>
        <w:rPr>
          <w:rFonts w:hint="eastAsia" w:ascii="仿宋_GB2312" w:hAnsi="仿宋_GB2312" w:eastAsia="仿宋_GB2312" w:cs="仿宋_GB2312"/>
          <w:sz w:val="32"/>
          <w:szCs w:val="32"/>
          <w:shd w:val="clear" w:color="auto" w:fill="FFFFFF"/>
          <w:lang w:eastAsia="zh-CN"/>
        </w:rPr>
        <w:t>提</w:t>
      </w:r>
      <w:r>
        <w:rPr>
          <w:rFonts w:hint="eastAsia" w:ascii="仿宋_GB2312" w:hAnsi="仿宋_GB2312" w:eastAsia="仿宋_GB2312" w:cs="仿宋_GB2312"/>
          <w:sz w:val="32"/>
          <w:szCs w:val="32"/>
          <w:shd w:val="clear" w:color="auto" w:fill="FFFFFF"/>
        </w:rPr>
        <w:t>质增收。同时请相关部门</w:t>
      </w:r>
      <w:r>
        <w:rPr>
          <w:rFonts w:hint="eastAsia" w:ascii="仿宋_GB2312" w:hAnsi="仿宋_GB2312" w:eastAsia="仿宋_GB2312" w:cs="仿宋_GB2312"/>
          <w:sz w:val="32"/>
          <w:szCs w:val="32"/>
          <w:shd w:val="clear" w:color="auto" w:fill="FFFFFF"/>
          <w:lang w:eastAsia="zh-CN"/>
        </w:rPr>
        <w:t>提供技术指导</w:t>
      </w:r>
      <w:r>
        <w:rPr>
          <w:rFonts w:hint="eastAsia" w:ascii="仿宋_GB2312" w:hAnsi="仿宋_GB2312" w:eastAsia="仿宋_GB2312" w:cs="仿宋_GB2312"/>
          <w:sz w:val="32"/>
          <w:szCs w:val="32"/>
          <w:shd w:val="clear" w:color="auto" w:fill="FFFFFF"/>
        </w:rPr>
        <w:t>，结合</w:t>
      </w:r>
      <w:r>
        <w:rPr>
          <w:rFonts w:hint="eastAsia" w:ascii="仿宋_GB2312" w:hAnsi="仿宋_GB2312" w:eastAsia="仿宋_GB2312" w:cs="仿宋_GB2312"/>
          <w:sz w:val="32"/>
          <w:szCs w:val="32"/>
          <w:shd w:val="clear" w:color="auto" w:fill="FFFFFF"/>
          <w:lang w:eastAsia="zh-CN"/>
        </w:rPr>
        <w:t>地区</w:t>
      </w:r>
      <w:r>
        <w:rPr>
          <w:rFonts w:hint="eastAsia" w:ascii="仿宋_GB2312" w:hAnsi="仿宋_GB2312" w:eastAsia="仿宋_GB2312" w:cs="仿宋_GB2312"/>
          <w:sz w:val="32"/>
          <w:szCs w:val="32"/>
          <w:shd w:val="clear" w:color="auto" w:fill="FFFFFF"/>
        </w:rPr>
        <w:t>优势，发展</w:t>
      </w:r>
      <w:r>
        <w:rPr>
          <w:rFonts w:hint="eastAsia" w:ascii="仿宋_GB2312" w:hAnsi="仿宋_GB2312" w:eastAsia="仿宋_GB2312" w:cs="仿宋_GB2312"/>
          <w:sz w:val="32"/>
          <w:szCs w:val="32"/>
          <w:shd w:val="clear" w:color="auto" w:fill="FFFFFF"/>
          <w:lang w:eastAsia="zh-CN"/>
        </w:rPr>
        <w:t>特色</w:t>
      </w:r>
      <w:r>
        <w:rPr>
          <w:rFonts w:hint="eastAsia" w:ascii="仿宋_GB2312" w:hAnsi="仿宋_GB2312" w:eastAsia="仿宋_GB2312" w:cs="仿宋_GB2312"/>
          <w:sz w:val="32"/>
          <w:szCs w:val="32"/>
          <w:shd w:val="clear" w:color="auto" w:fill="FFFFFF"/>
        </w:rPr>
        <w:t>农业。积极入户走访宣传改厕优势，加快美丽</w:t>
      </w:r>
      <w:r>
        <w:rPr>
          <w:rFonts w:hint="eastAsia" w:ascii="仿宋_GB2312" w:hAnsi="仿宋_GB2312" w:eastAsia="仿宋_GB2312" w:cs="仿宋_GB2312"/>
          <w:sz w:val="32"/>
          <w:szCs w:val="32"/>
          <w:shd w:val="clear" w:color="auto" w:fill="FFFFFF"/>
          <w:lang w:eastAsia="zh-CN"/>
        </w:rPr>
        <w:t>乡村</w:t>
      </w:r>
      <w:r>
        <w:rPr>
          <w:rFonts w:hint="eastAsia" w:ascii="仿宋_GB2312" w:hAnsi="仿宋_GB2312" w:eastAsia="仿宋_GB2312" w:cs="仿宋_GB2312"/>
          <w:sz w:val="32"/>
          <w:szCs w:val="32"/>
          <w:shd w:val="clear" w:color="auto" w:fill="FFFFFF"/>
        </w:rPr>
        <w:t>建设，改善人居环境，提高群众生活质量。</w:t>
      </w:r>
    </w:p>
    <w:p>
      <w:pPr>
        <w:pStyle w:val="4"/>
        <w:keepNext w:val="0"/>
        <w:keepLines w:val="0"/>
        <w:pageBreakBefore w:val="0"/>
        <w:shd w:val="clear" w:color="auto" w:fill="FFFFFF"/>
        <w:kinsoku/>
        <w:wordWrap/>
        <w:overflowPunct/>
        <w:topLinePunct w:val="0"/>
        <w:bidi w:val="0"/>
        <w:adjustRightInd/>
        <w:spacing w:before="0" w:beforeAutospacing="0" w:after="0" w:afterAutospacing="0" w:line="560" w:lineRule="exact"/>
        <w:ind w:firstLine="6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kern w:val="2"/>
          <w:sz w:val="32"/>
          <w:szCs w:val="32"/>
        </w:rPr>
        <w:t>3、加强单位财政队伍建设。</w:t>
      </w:r>
      <w:r>
        <w:rPr>
          <w:rFonts w:hint="eastAsia" w:ascii="仿宋_GB2312" w:hAnsi="仿宋_GB2312" w:eastAsia="仿宋_GB2312" w:cs="仿宋_GB2312"/>
          <w:sz w:val="32"/>
          <w:szCs w:val="32"/>
          <w:shd w:val="clear" w:color="auto" w:fill="FFFFFF"/>
        </w:rPr>
        <w:t>加强对相关人员的业务培训，提高从业人员业务能力及综合素质水平，针对新运用的预算一体化系统、《政府会计制度》、《预算法》、《行政事业单位会计制度》等</w:t>
      </w:r>
      <w:r>
        <w:rPr>
          <w:rFonts w:hint="eastAsia" w:ascii="仿宋_GB2312" w:hAnsi="仿宋_GB2312" w:eastAsia="仿宋_GB2312" w:cs="仿宋_GB2312"/>
          <w:sz w:val="32"/>
          <w:szCs w:val="32"/>
          <w:shd w:val="clear" w:color="auto" w:fill="FFFFFF"/>
          <w:lang w:eastAsia="zh-CN"/>
        </w:rPr>
        <w:t>进行</w:t>
      </w:r>
      <w:r>
        <w:rPr>
          <w:rFonts w:hint="eastAsia" w:ascii="仿宋_GB2312" w:hAnsi="仿宋_GB2312" w:eastAsia="仿宋_GB2312" w:cs="仿宋_GB2312"/>
          <w:sz w:val="32"/>
          <w:szCs w:val="32"/>
          <w:shd w:val="clear" w:color="auto" w:fill="FFFFFF"/>
        </w:rPr>
        <w:t>学习培训，规范部门预算收支核算，切实提高部门预算收支管理水平</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rPr>
        <w:t>加强对财务人员的继续教育，重视业务技能的培训，提高财务人员的工作能力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加强会计基础理论的培训，努力做到会计工作规范化</w:t>
      </w:r>
      <w:r>
        <w:rPr>
          <w:rFonts w:hint="eastAsia" w:ascii="仿宋_GB2312" w:hAnsi="仿宋_GB2312" w:eastAsia="仿宋_GB2312" w:cs="仿宋_GB2312"/>
          <w:sz w:val="32"/>
          <w:szCs w:val="32"/>
          <w:lang w:eastAsia="zh-CN"/>
        </w:rPr>
        <w:t>。</w:t>
      </w:r>
    </w:p>
    <w:p>
      <w:pPr>
        <w:pStyle w:val="4"/>
        <w:keepNext w:val="0"/>
        <w:keepLines w:val="0"/>
        <w:pageBreakBefore w:val="0"/>
        <w:shd w:val="clear" w:color="auto" w:fill="FFFFFF"/>
        <w:kinsoku/>
        <w:wordWrap/>
        <w:overflowPunct/>
        <w:topLinePunct w:val="0"/>
        <w:bidi w:val="0"/>
        <w:adjustRightInd/>
        <w:spacing w:before="0" w:beforeAutospacing="0" w:after="0" w:afterAutospacing="0" w:line="560" w:lineRule="exact"/>
        <w:ind w:firstLine="600"/>
        <w:jc w:val="both"/>
        <w:textAlignment w:val="auto"/>
        <w:rPr>
          <w:rFonts w:ascii="仿宋_GB2312" w:hAnsi="仿宋_GB2312" w:eastAsia="仿宋_GB2312" w:cs="仿宋_GB2312"/>
          <w:sz w:val="32"/>
          <w:szCs w:val="32"/>
          <w:shd w:val="clear" w:color="auto" w:fill="FFFFFF"/>
        </w:rPr>
      </w:pPr>
      <w:r>
        <w:rPr>
          <w:rFonts w:hint="eastAsia" w:ascii="楷体_GB2312" w:hAnsi="楷体_GB2312" w:eastAsia="楷体_GB2312" w:cs="楷体_GB2312"/>
          <w:b/>
          <w:bCs/>
          <w:kern w:val="2"/>
          <w:sz w:val="32"/>
          <w:szCs w:val="32"/>
        </w:rPr>
        <w:t>4、完善单位内部控制制度。</w:t>
      </w:r>
      <w:r>
        <w:rPr>
          <w:rFonts w:hint="eastAsia" w:ascii="仿宋_GB2312" w:hAnsi="仿宋_GB2312" w:eastAsia="仿宋_GB2312" w:cs="仿宋_GB2312"/>
          <w:sz w:val="32"/>
          <w:szCs w:val="32"/>
          <w:shd w:val="clear" w:color="auto" w:fill="FFFFFF"/>
        </w:rPr>
        <w:t>加强单位财务管理，健全单位财务管理制度体系，规范单位财务行为。严格编制政府采购年初预算和计划，规范各类资产的购置审批制度、资产采购制度、使用管理制度、资产处置和报废审批制度、资产管理岗位职责制度等，加强单位内部资产管理工作。严格控制“三公”经费</w:t>
      </w:r>
      <w:r>
        <w:rPr>
          <w:rFonts w:hint="eastAsia" w:ascii="仿宋_GB2312" w:hAnsi="仿宋_GB2312" w:eastAsia="仿宋_GB2312" w:cs="仿宋_GB2312"/>
          <w:sz w:val="32"/>
          <w:szCs w:val="32"/>
          <w:shd w:val="clear" w:color="auto" w:fill="FFFFFF"/>
          <w:lang w:eastAsia="zh-CN"/>
        </w:rPr>
        <w:t>支出</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严格</w:t>
      </w:r>
      <w:r>
        <w:rPr>
          <w:rFonts w:hint="eastAsia" w:ascii="仿宋_GB2312" w:hAnsi="仿宋_GB2312" w:eastAsia="仿宋_GB2312" w:cs="仿宋_GB2312"/>
          <w:sz w:val="32"/>
          <w:szCs w:val="32"/>
          <w:shd w:val="clear" w:color="auto" w:fill="FFFFFF"/>
        </w:rPr>
        <w:t>把关</w:t>
      </w:r>
      <w:r>
        <w:rPr>
          <w:rFonts w:hint="eastAsia" w:ascii="仿宋_GB2312" w:hAnsi="仿宋_GB2312" w:eastAsia="仿宋_GB2312" w:cs="仿宋_GB2312"/>
          <w:sz w:val="32"/>
          <w:szCs w:val="32"/>
          <w:shd w:val="clear" w:color="auto" w:fill="FFFFFF"/>
          <w:lang w:eastAsia="zh-CN"/>
        </w:rPr>
        <w:t>财务</w:t>
      </w:r>
      <w:r>
        <w:rPr>
          <w:rFonts w:hint="eastAsia" w:ascii="仿宋_GB2312" w:hAnsi="仿宋_GB2312" w:eastAsia="仿宋_GB2312" w:cs="仿宋_GB2312"/>
          <w:sz w:val="32"/>
          <w:szCs w:val="32"/>
          <w:shd w:val="clear" w:color="auto" w:fill="FFFFFF"/>
        </w:rPr>
        <w:t>支出审核、审批，杜绝挪用和挤占其他预算资金行为。</w:t>
      </w:r>
      <w:bookmarkStart w:id="0" w:name="_GoBack"/>
      <w:bookmarkEnd w:id="0"/>
    </w:p>
    <w:p>
      <w:pPr>
        <w:snapToGrid w:val="0"/>
        <w:spacing w:line="560" w:lineRule="exact"/>
        <w:rPr>
          <w:rFonts w:hint="eastAsia" w:ascii="仿宋_GB2312" w:hAnsi="仿宋_GB2312" w:eastAsia="仿宋_GB2312" w:cs="仿宋_GB2312"/>
          <w:kern w:val="0"/>
          <w:sz w:val="32"/>
          <w:szCs w:val="32"/>
          <w:shd w:val="clear" w:color="auto" w:fill="FFFFFF"/>
          <w:lang w:val="en-US" w:eastAsia="zh-CN" w:bidi="ar-SA"/>
        </w:rPr>
      </w:pPr>
    </w:p>
    <w:p>
      <w:pPr>
        <w:snapToGrid w:val="0"/>
        <w:spacing w:line="560" w:lineRule="exact"/>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附：项目支出绩效自评汇总表</w:t>
      </w:r>
    </w:p>
    <w:p>
      <w:pPr>
        <w:keepNext w:val="0"/>
        <w:keepLines w:val="0"/>
        <w:pageBreakBefore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kern w:val="0"/>
          <w:sz w:val="32"/>
          <w:szCs w:val="32"/>
          <w:lang w:eastAsia="zh-CN"/>
        </w:rPr>
      </w:pPr>
    </w:p>
    <w:p>
      <w:pPr>
        <w:keepNext w:val="0"/>
        <w:keepLines w:val="0"/>
        <w:pageBreakBefore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kern w:val="0"/>
          <w:sz w:val="32"/>
          <w:szCs w:val="32"/>
          <w:lang w:eastAsia="zh-CN"/>
        </w:rPr>
      </w:pPr>
    </w:p>
    <w:p>
      <w:pPr>
        <w:keepNext w:val="0"/>
        <w:keepLines w:val="0"/>
        <w:pageBreakBefore w:val="0"/>
        <w:kinsoku/>
        <w:wordWrap/>
        <w:overflowPunct/>
        <w:topLinePunct w:val="0"/>
        <w:bidi w:val="0"/>
        <w:adjustRightInd/>
        <w:spacing w:line="560" w:lineRule="exact"/>
        <w:ind w:firstLine="5120" w:firstLineChars="1600"/>
        <w:textAlignment w:val="auto"/>
        <w:rPr>
          <w:rFonts w:ascii="仿宋_GB2312" w:hAnsi="仿宋_GB2312" w:cs="仿宋_GB2312"/>
          <w:kern w:val="0"/>
          <w:sz w:val="32"/>
          <w:szCs w:val="32"/>
        </w:rPr>
      </w:pPr>
      <w:r>
        <w:rPr>
          <w:rFonts w:hint="eastAsia" w:ascii="仿宋_GB2312" w:hAnsi="仿宋_GB2312" w:cs="仿宋_GB2312"/>
          <w:kern w:val="0"/>
          <w:sz w:val="32"/>
          <w:szCs w:val="32"/>
        </w:rPr>
        <w:t>歙县三阳镇人民政府</w:t>
      </w:r>
    </w:p>
    <w:p>
      <w:pPr>
        <w:keepNext w:val="0"/>
        <w:keepLines w:val="0"/>
        <w:pageBreakBefore w:val="0"/>
        <w:kinsoku/>
        <w:wordWrap/>
        <w:overflowPunct/>
        <w:topLinePunct w:val="0"/>
        <w:bidi w:val="0"/>
        <w:adjustRightInd/>
        <w:spacing w:line="560" w:lineRule="exact"/>
        <w:ind w:firstLine="5440" w:firstLineChars="1700"/>
        <w:textAlignment w:val="auto"/>
      </w:pPr>
      <w:r>
        <w:rPr>
          <w:rFonts w:hint="eastAsia" w:ascii="仿宋_GB2312" w:hAnsi="仿宋_GB2312" w:cs="仿宋_GB2312"/>
          <w:kern w:val="0"/>
          <w:sz w:val="32"/>
          <w:szCs w:val="32"/>
        </w:rPr>
        <w:t>2024年6月27日</w:t>
      </w:r>
    </w:p>
    <w:p>
      <w:pPr>
        <w:snapToGrid w:val="0"/>
        <w:spacing w:line="560" w:lineRule="exact"/>
        <w:rPr>
          <w:rFonts w:hint="eastAsia" w:ascii="黑体" w:hAnsi="仿宋" w:eastAsia="黑体" w:cs="宋体"/>
          <w:kern w:val="0"/>
          <w:sz w:val="32"/>
          <w:szCs w:val="32"/>
        </w:rPr>
      </w:pPr>
    </w:p>
    <w:p>
      <w:pPr>
        <w:widowControl/>
        <w:jc w:val="left"/>
        <w:rPr>
          <w:rFonts w:ascii="黑体" w:hAnsi="黑体" w:eastAsia="黑体" w:cs="仿宋_GB2312"/>
          <w:color w:val="000000"/>
          <w:sz w:val="32"/>
          <w:szCs w:val="32"/>
        </w:rPr>
      </w:pPr>
    </w:p>
    <w:p>
      <w:pPr>
        <w:widowControl/>
        <w:snapToGrid w:val="0"/>
        <w:spacing w:line="560" w:lineRule="exact"/>
        <w:jc w:val="left"/>
        <w:rPr>
          <w:rFonts w:hint="eastAsia" w:ascii="黑体" w:hAnsi="黑体" w:eastAsia="黑体" w:cs="仿宋_GB2312"/>
          <w:color w:val="000000"/>
          <w:sz w:val="32"/>
          <w:szCs w:val="32"/>
        </w:rPr>
      </w:pPr>
    </w:p>
    <w:p>
      <w:pPr>
        <w:widowControl/>
        <w:snapToGrid w:val="0"/>
        <w:spacing w:line="560" w:lineRule="exact"/>
        <w:jc w:val="left"/>
        <w:rPr>
          <w:rFonts w:hint="eastAsia" w:ascii="黑体" w:hAnsi="黑体" w:eastAsia="黑体" w:cs="仿宋_GB2312"/>
          <w:color w:val="000000"/>
          <w:sz w:val="32"/>
          <w:szCs w:val="32"/>
        </w:rPr>
      </w:pPr>
    </w:p>
    <w:p>
      <w:pPr>
        <w:widowControl/>
        <w:snapToGrid w:val="0"/>
        <w:spacing w:line="560" w:lineRule="exact"/>
        <w:jc w:val="left"/>
        <w:rPr>
          <w:rFonts w:hint="eastAsia" w:ascii="黑体" w:hAnsi="黑体" w:eastAsia="黑体" w:cs="仿宋_GB2312"/>
          <w:color w:val="000000"/>
          <w:sz w:val="32"/>
          <w:szCs w:val="32"/>
        </w:rPr>
      </w:pPr>
    </w:p>
    <w:p>
      <w:pPr>
        <w:widowControl/>
        <w:snapToGrid w:val="0"/>
        <w:spacing w:line="560" w:lineRule="exact"/>
        <w:jc w:val="left"/>
        <w:rPr>
          <w:rFonts w:hint="eastAsia" w:ascii="黑体" w:hAnsi="黑体" w:eastAsia="黑体" w:cs="仿宋_GB2312"/>
          <w:color w:val="000000"/>
          <w:sz w:val="32"/>
          <w:szCs w:val="32"/>
        </w:rPr>
      </w:pPr>
    </w:p>
    <w:p>
      <w:pPr>
        <w:widowControl/>
        <w:snapToGrid w:val="0"/>
        <w:spacing w:line="560" w:lineRule="exact"/>
        <w:jc w:val="left"/>
        <w:rPr>
          <w:rFonts w:hint="eastAsia" w:ascii="黑体" w:hAnsi="黑体" w:eastAsia="黑体" w:cs="仿宋_GB2312"/>
          <w:color w:val="000000"/>
          <w:sz w:val="32"/>
          <w:szCs w:val="32"/>
        </w:rPr>
      </w:pPr>
    </w:p>
    <w:p>
      <w:pPr>
        <w:widowControl/>
        <w:snapToGrid w:val="0"/>
        <w:spacing w:line="560" w:lineRule="exact"/>
        <w:jc w:val="left"/>
        <w:rPr>
          <w:rFonts w:hint="eastAsia" w:ascii="黑体" w:hAnsi="黑体" w:eastAsia="黑体" w:cs="仿宋_GB2312"/>
          <w:color w:val="000000"/>
          <w:sz w:val="32"/>
          <w:szCs w:val="32"/>
        </w:rPr>
      </w:pPr>
    </w:p>
    <w:p>
      <w:pPr>
        <w:widowControl/>
        <w:snapToGrid w:val="0"/>
        <w:spacing w:line="560" w:lineRule="exact"/>
        <w:jc w:val="left"/>
        <w:rPr>
          <w:rFonts w:hint="eastAsia" w:ascii="黑体" w:hAnsi="黑体" w:eastAsia="黑体" w:cs="仿宋_GB2312"/>
          <w:color w:val="000000"/>
          <w:sz w:val="32"/>
          <w:szCs w:val="32"/>
        </w:rPr>
      </w:pPr>
    </w:p>
    <w:p>
      <w:pPr>
        <w:widowControl/>
        <w:snapToGrid w:val="0"/>
        <w:spacing w:line="560" w:lineRule="exact"/>
        <w:jc w:val="left"/>
        <w:rPr>
          <w:rFonts w:hint="eastAsia" w:ascii="黑体" w:hAnsi="黑体" w:eastAsia="黑体" w:cs="仿宋_GB2312"/>
          <w:color w:val="000000"/>
          <w:sz w:val="32"/>
          <w:szCs w:val="32"/>
        </w:rPr>
      </w:pPr>
    </w:p>
    <w:p>
      <w:pPr>
        <w:widowControl/>
        <w:snapToGrid w:val="0"/>
        <w:spacing w:line="560" w:lineRule="exact"/>
        <w:jc w:val="left"/>
        <w:rPr>
          <w:rFonts w:hint="eastAsia" w:ascii="黑体" w:hAnsi="黑体" w:eastAsia="黑体" w:cs="仿宋_GB2312"/>
          <w:color w:val="000000"/>
          <w:sz w:val="32"/>
          <w:szCs w:val="32"/>
        </w:rPr>
      </w:pPr>
    </w:p>
    <w:p>
      <w:pPr>
        <w:widowControl/>
        <w:snapToGrid w:val="0"/>
        <w:spacing w:line="560" w:lineRule="exact"/>
        <w:jc w:val="left"/>
        <w:rPr>
          <w:rFonts w:hint="eastAsia" w:ascii="黑体" w:hAnsi="黑体" w:eastAsia="黑体" w:cs="仿宋_GB2312"/>
          <w:color w:val="000000"/>
          <w:sz w:val="32"/>
          <w:szCs w:val="32"/>
        </w:rPr>
      </w:pPr>
    </w:p>
    <w:p>
      <w:pPr>
        <w:widowControl/>
        <w:snapToGrid w:val="0"/>
        <w:spacing w:line="560" w:lineRule="exact"/>
        <w:jc w:val="left"/>
        <w:rPr>
          <w:rFonts w:hint="eastAsia" w:ascii="黑体" w:hAnsi="黑体" w:eastAsia="黑体" w:cs="仿宋_GB2312"/>
          <w:color w:val="000000"/>
          <w:sz w:val="32"/>
          <w:szCs w:val="32"/>
        </w:rPr>
      </w:pPr>
    </w:p>
    <w:p>
      <w:pPr>
        <w:widowControl/>
        <w:snapToGrid w:val="0"/>
        <w:spacing w:line="560" w:lineRule="exact"/>
        <w:jc w:val="left"/>
        <w:rPr>
          <w:rFonts w:ascii="黑体" w:hAnsi="黑体" w:eastAsia="黑体" w:cs="仿宋_GB2312"/>
          <w:color w:val="000000"/>
          <w:sz w:val="32"/>
          <w:szCs w:val="32"/>
        </w:rPr>
      </w:pPr>
      <w:r>
        <w:rPr>
          <w:rFonts w:hint="eastAsia" w:ascii="黑体" w:hAnsi="黑体" w:eastAsia="黑体" w:cs="仿宋_GB2312"/>
          <w:color w:val="000000"/>
          <w:sz w:val="32"/>
          <w:szCs w:val="32"/>
        </w:rPr>
        <w:t>附</w:t>
      </w:r>
    </w:p>
    <w:p>
      <w:pPr>
        <w:widowControl/>
        <w:snapToGrid w:val="0"/>
        <w:spacing w:line="56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项目支出绩效自评汇总表</w:t>
      </w:r>
    </w:p>
    <w:p>
      <w:pPr>
        <w:widowControl/>
        <w:snapToGrid w:val="0"/>
        <w:spacing w:line="560" w:lineRule="exact"/>
        <w:jc w:val="center"/>
        <w:rPr>
          <w:rFonts w:ascii="方正小标宋_GBK" w:hAnsi="宋体" w:eastAsia="方正小标宋_GBK" w:cs="宋体"/>
          <w:color w:val="000000"/>
          <w:kern w:val="0"/>
          <w:sz w:val="44"/>
          <w:szCs w:val="44"/>
        </w:rPr>
      </w:pPr>
    </w:p>
    <w:tbl>
      <w:tblPr>
        <w:tblStyle w:val="6"/>
        <w:tblW w:w="9654" w:type="dxa"/>
        <w:tblInd w:w="-431" w:type="dxa"/>
        <w:tblLayout w:type="autofit"/>
        <w:tblCellMar>
          <w:top w:w="0" w:type="dxa"/>
          <w:left w:w="108" w:type="dxa"/>
          <w:bottom w:w="0" w:type="dxa"/>
          <w:right w:w="108" w:type="dxa"/>
        </w:tblCellMar>
      </w:tblPr>
      <w:tblGrid>
        <w:gridCol w:w="852"/>
        <w:gridCol w:w="2034"/>
        <w:gridCol w:w="1646"/>
        <w:gridCol w:w="1646"/>
        <w:gridCol w:w="1255"/>
        <w:gridCol w:w="814"/>
        <w:gridCol w:w="1407"/>
      </w:tblGrid>
      <w:tr>
        <w:tblPrEx>
          <w:tblCellMar>
            <w:top w:w="0" w:type="dxa"/>
            <w:left w:w="108" w:type="dxa"/>
            <w:bottom w:w="0" w:type="dxa"/>
            <w:right w:w="108" w:type="dxa"/>
          </w:tblCellMar>
        </w:tblPrEx>
        <w:trPr>
          <w:trHeight w:val="787"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ESI宋体-GB2312" w:hAnsi="宋体" w:eastAsia="CESI宋体-GB2312" w:cs="宋体"/>
                <w:color w:val="000000"/>
                <w:kern w:val="0"/>
                <w:sz w:val="21"/>
                <w:szCs w:val="21"/>
              </w:rPr>
            </w:pPr>
            <w:r>
              <w:rPr>
                <w:rFonts w:hint="eastAsia" w:ascii="CESI宋体-GB2312" w:hAnsi="宋体" w:eastAsia="CESI宋体-GB2312" w:cs="宋体"/>
                <w:color w:val="000000"/>
                <w:kern w:val="0"/>
                <w:sz w:val="21"/>
                <w:szCs w:val="21"/>
              </w:rPr>
              <w:t>序号</w:t>
            </w:r>
          </w:p>
        </w:tc>
        <w:tc>
          <w:tcPr>
            <w:tcW w:w="20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ESI宋体-GB2312" w:hAnsi="宋体" w:eastAsia="CESI宋体-GB2312" w:cs="宋体"/>
                <w:color w:val="000000"/>
                <w:kern w:val="0"/>
                <w:sz w:val="21"/>
                <w:szCs w:val="21"/>
              </w:rPr>
            </w:pPr>
            <w:r>
              <w:rPr>
                <w:rFonts w:hint="eastAsia" w:ascii="CESI宋体-GB2312" w:hAnsi="宋体" w:eastAsia="CESI宋体-GB2312" w:cs="宋体"/>
                <w:color w:val="000000"/>
                <w:kern w:val="0"/>
                <w:sz w:val="21"/>
                <w:szCs w:val="21"/>
              </w:rPr>
              <w:t>项目名称</w:t>
            </w:r>
          </w:p>
        </w:tc>
        <w:tc>
          <w:tcPr>
            <w:tcW w:w="1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ESI宋体-GB2312" w:hAnsi="宋体" w:eastAsia="CESI宋体-GB2312" w:cs="宋体"/>
                <w:color w:val="000000"/>
                <w:kern w:val="0"/>
                <w:sz w:val="21"/>
                <w:szCs w:val="21"/>
              </w:rPr>
            </w:pPr>
            <w:r>
              <w:rPr>
                <w:rFonts w:hint="eastAsia" w:ascii="CESI宋体-GB2312" w:hAnsi="宋体" w:eastAsia="CESI宋体-GB2312" w:cs="宋体"/>
                <w:color w:val="000000"/>
                <w:kern w:val="0"/>
                <w:sz w:val="21"/>
                <w:szCs w:val="21"/>
              </w:rPr>
              <w:t>全年预算数</w:t>
            </w:r>
          </w:p>
        </w:tc>
        <w:tc>
          <w:tcPr>
            <w:tcW w:w="1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ESI宋体-GB2312" w:hAnsi="宋体" w:eastAsia="CESI宋体-GB2312" w:cs="宋体"/>
                <w:color w:val="000000"/>
                <w:kern w:val="0"/>
                <w:sz w:val="21"/>
                <w:szCs w:val="21"/>
              </w:rPr>
            </w:pPr>
            <w:r>
              <w:rPr>
                <w:rFonts w:hint="eastAsia" w:ascii="CESI宋体-GB2312" w:hAnsi="宋体" w:eastAsia="CESI宋体-GB2312" w:cs="宋体"/>
                <w:color w:val="000000"/>
                <w:kern w:val="0"/>
                <w:sz w:val="21"/>
                <w:szCs w:val="21"/>
              </w:rPr>
              <w:t>全年执行数</w:t>
            </w:r>
          </w:p>
        </w:tc>
        <w:tc>
          <w:tcPr>
            <w:tcW w:w="12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ESI宋体-GB2312" w:hAnsi="宋体" w:eastAsia="CESI宋体-GB2312" w:cs="宋体"/>
                <w:color w:val="000000"/>
                <w:kern w:val="0"/>
                <w:sz w:val="21"/>
                <w:szCs w:val="21"/>
              </w:rPr>
            </w:pPr>
            <w:r>
              <w:rPr>
                <w:rFonts w:hint="eastAsia" w:ascii="CESI宋体-GB2312" w:hAnsi="宋体" w:eastAsia="CESI宋体-GB2312" w:cs="宋体"/>
                <w:color w:val="000000"/>
                <w:kern w:val="0"/>
                <w:sz w:val="21"/>
                <w:szCs w:val="21"/>
              </w:rPr>
              <w:t>预算执行率</w:t>
            </w:r>
          </w:p>
        </w:tc>
        <w:tc>
          <w:tcPr>
            <w:tcW w:w="8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ESI宋体-GB2312" w:hAnsi="宋体" w:eastAsia="CESI宋体-GB2312" w:cs="宋体"/>
                <w:color w:val="000000"/>
                <w:kern w:val="0"/>
                <w:sz w:val="21"/>
                <w:szCs w:val="21"/>
              </w:rPr>
            </w:pPr>
            <w:r>
              <w:rPr>
                <w:rFonts w:hint="eastAsia" w:ascii="CESI宋体-GB2312" w:hAnsi="宋体" w:eastAsia="CESI宋体-GB2312" w:cs="宋体"/>
                <w:color w:val="000000"/>
                <w:kern w:val="0"/>
                <w:sz w:val="21"/>
                <w:szCs w:val="21"/>
              </w:rPr>
              <w:t>自评得分</w:t>
            </w:r>
          </w:p>
        </w:tc>
        <w:tc>
          <w:tcPr>
            <w:tcW w:w="14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ESI宋体-GB2312" w:hAnsi="宋体" w:eastAsia="CESI宋体-GB2312" w:cs="宋体"/>
                <w:color w:val="000000"/>
                <w:kern w:val="0"/>
                <w:sz w:val="21"/>
                <w:szCs w:val="21"/>
              </w:rPr>
            </w:pPr>
            <w:r>
              <w:rPr>
                <w:rFonts w:hint="eastAsia" w:ascii="CESI宋体-GB2312" w:hAnsi="宋体" w:eastAsia="CESI宋体-GB2312" w:cs="宋体"/>
                <w:color w:val="000000"/>
                <w:kern w:val="0"/>
                <w:sz w:val="21"/>
                <w:szCs w:val="21"/>
              </w:rPr>
              <w:t>是否有较大偏差</w:t>
            </w:r>
          </w:p>
        </w:tc>
      </w:tr>
      <w:tr>
        <w:tblPrEx>
          <w:tblCellMar>
            <w:top w:w="0" w:type="dxa"/>
            <w:left w:w="108" w:type="dxa"/>
            <w:bottom w:w="0" w:type="dxa"/>
            <w:right w:w="108" w:type="dxa"/>
          </w:tblCellMar>
        </w:tblPrEx>
        <w:trPr>
          <w:trHeight w:val="278"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0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征兵经费</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19,673.00</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19,673.00</w:t>
            </w:r>
          </w:p>
        </w:tc>
        <w:tc>
          <w:tcPr>
            <w:tcW w:w="1255"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814"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98</w:t>
            </w:r>
          </w:p>
        </w:tc>
        <w:tc>
          <w:tcPr>
            <w:tcW w:w="14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r>
      <w:tr>
        <w:tblPrEx>
          <w:tblCellMar>
            <w:top w:w="0" w:type="dxa"/>
            <w:left w:w="108" w:type="dxa"/>
            <w:bottom w:w="0" w:type="dxa"/>
            <w:right w:w="108" w:type="dxa"/>
          </w:tblCellMar>
        </w:tblPrEx>
        <w:trPr>
          <w:trHeight w:val="278"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0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村级补助资金</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1,461,845.00</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1,461,845.00</w:t>
            </w:r>
          </w:p>
        </w:tc>
        <w:tc>
          <w:tcPr>
            <w:tcW w:w="1255"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814"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14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r>
      <w:tr>
        <w:tblPrEx>
          <w:tblCellMar>
            <w:top w:w="0" w:type="dxa"/>
            <w:left w:w="108" w:type="dxa"/>
            <w:bottom w:w="0" w:type="dxa"/>
            <w:right w:w="108" w:type="dxa"/>
          </w:tblCellMar>
        </w:tblPrEx>
        <w:trPr>
          <w:trHeight w:val="278"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0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文明创建</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215,575.00</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215,575.00</w:t>
            </w:r>
          </w:p>
        </w:tc>
        <w:tc>
          <w:tcPr>
            <w:tcW w:w="1255"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814"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14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r>
      <w:tr>
        <w:tblPrEx>
          <w:tblCellMar>
            <w:top w:w="0" w:type="dxa"/>
            <w:left w:w="108" w:type="dxa"/>
            <w:bottom w:w="0" w:type="dxa"/>
            <w:right w:w="108" w:type="dxa"/>
          </w:tblCellMar>
        </w:tblPrEx>
        <w:trPr>
          <w:trHeight w:val="557"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0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三阳镇叶硒庄园老年公寓适老化改造</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500,000.00</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500,000.00</w:t>
            </w:r>
          </w:p>
        </w:tc>
        <w:tc>
          <w:tcPr>
            <w:tcW w:w="1255"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814"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97</w:t>
            </w:r>
          </w:p>
        </w:tc>
        <w:tc>
          <w:tcPr>
            <w:tcW w:w="14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r>
      <w:tr>
        <w:tblPrEx>
          <w:tblCellMar>
            <w:top w:w="0" w:type="dxa"/>
            <w:left w:w="108" w:type="dxa"/>
            <w:bottom w:w="0" w:type="dxa"/>
            <w:right w:w="108" w:type="dxa"/>
          </w:tblCellMar>
        </w:tblPrEx>
        <w:trPr>
          <w:trHeight w:val="278"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0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湖田山公司项目代建费用</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36,900,000.00</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36,900,000.00</w:t>
            </w:r>
          </w:p>
        </w:tc>
        <w:tc>
          <w:tcPr>
            <w:tcW w:w="1255"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814"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14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r>
      <w:tr>
        <w:tblPrEx>
          <w:tblCellMar>
            <w:top w:w="0" w:type="dxa"/>
            <w:left w:w="108" w:type="dxa"/>
            <w:bottom w:w="0" w:type="dxa"/>
            <w:right w:w="108" w:type="dxa"/>
          </w:tblCellMar>
        </w:tblPrEx>
        <w:trPr>
          <w:trHeight w:val="557"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0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三阳镇购买自规局出让土地价款费用</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2,000,000.00</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2,000,000.00</w:t>
            </w:r>
          </w:p>
        </w:tc>
        <w:tc>
          <w:tcPr>
            <w:tcW w:w="1255"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814"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14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r>
      <w:tr>
        <w:tblPrEx>
          <w:tblCellMar>
            <w:top w:w="0" w:type="dxa"/>
            <w:left w:w="108" w:type="dxa"/>
            <w:bottom w:w="0" w:type="dxa"/>
            <w:right w:w="108" w:type="dxa"/>
          </w:tblCellMar>
        </w:tblPrEx>
        <w:trPr>
          <w:trHeight w:val="278"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0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农村“一事一议”奖补</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467,000.00</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255"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w:t>
            </w:r>
          </w:p>
        </w:tc>
        <w:tc>
          <w:tcPr>
            <w:tcW w:w="814"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90</w:t>
            </w:r>
          </w:p>
        </w:tc>
        <w:tc>
          <w:tcPr>
            <w:tcW w:w="14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r>
      <w:tr>
        <w:tblPrEx>
          <w:tblCellMar>
            <w:top w:w="0" w:type="dxa"/>
            <w:left w:w="108" w:type="dxa"/>
            <w:bottom w:w="0" w:type="dxa"/>
            <w:right w:w="108" w:type="dxa"/>
          </w:tblCellMar>
        </w:tblPrEx>
        <w:trPr>
          <w:trHeight w:val="557"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20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三阳镇总部经济发展引导专项资金</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243,963.00</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243,963.00</w:t>
            </w:r>
          </w:p>
        </w:tc>
        <w:tc>
          <w:tcPr>
            <w:tcW w:w="1255"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814"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14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r>
      <w:tr>
        <w:tblPrEx>
          <w:tblCellMar>
            <w:top w:w="0" w:type="dxa"/>
            <w:left w:w="108" w:type="dxa"/>
            <w:bottom w:w="0" w:type="dxa"/>
            <w:right w:w="108" w:type="dxa"/>
          </w:tblCellMar>
        </w:tblPrEx>
        <w:trPr>
          <w:trHeight w:val="557"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20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三阳镇总部经济发展引导专项资金7.6</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518,017.00</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518,017.00</w:t>
            </w:r>
          </w:p>
        </w:tc>
        <w:tc>
          <w:tcPr>
            <w:tcW w:w="1255"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814"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14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r>
      <w:tr>
        <w:tblPrEx>
          <w:tblCellMar>
            <w:top w:w="0" w:type="dxa"/>
            <w:left w:w="108" w:type="dxa"/>
            <w:bottom w:w="0" w:type="dxa"/>
            <w:right w:w="108" w:type="dxa"/>
          </w:tblCellMar>
        </w:tblPrEx>
        <w:trPr>
          <w:trHeight w:val="278"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0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2022年民生工程奖补</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18,050.00</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18,050.00</w:t>
            </w:r>
          </w:p>
        </w:tc>
        <w:tc>
          <w:tcPr>
            <w:tcW w:w="1255"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814"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98</w:t>
            </w:r>
          </w:p>
        </w:tc>
        <w:tc>
          <w:tcPr>
            <w:tcW w:w="14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r>
      <w:tr>
        <w:tblPrEx>
          <w:tblCellMar>
            <w:top w:w="0" w:type="dxa"/>
            <w:left w:w="108" w:type="dxa"/>
            <w:bottom w:w="0" w:type="dxa"/>
            <w:right w:w="108" w:type="dxa"/>
          </w:tblCellMar>
        </w:tblPrEx>
        <w:trPr>
          <w:trHeight w:val="557"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20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三阳镇2022年12月总部经济发展引导专项资金</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18,318.00</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18,318.00</w:t>
            </w:r>
          </w:p>
        </w:tc>
        <w:tc>
          <w:tcPr>
            <w:tcW w:w="1255"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814"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14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r>
      <w:tr>
        <w:tblPrEx>
          <w:tblCellMar>
            <w:top w:w="0" w:type="dxa"/>
            <w:left w:w="108" w:type="dxa"/>
            <w:bottom w:w="0" w:type="dxa"/>
            <w:right w:w="108" w:type="dxa"/>
          </w:tblCellMar>
        </w:tblPrEx>
        <w:trPr>
          <w:trHeight w:val="278"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20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基础设施维护</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220,000.00</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220,000.00</w:t>
            </w:r>
          </w:p>
        </w:tc>
        <w:tc>
          <w:tcPr>
            <w:tcW w:w="1255"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814"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14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r>
      <w:tr>
        <w:tblPrEx>
          <w:tblCellMar>
            <w:top w:w="0" w:type="dxa"/>
            <w:left w:w="108" w:type="dxa"/>
            <w:bottom w:w="0" w:type="dxa"/>
            <w:right w:w="108" w:type="dxa"/>
          </w:tblCellMar>
        </w:tblPrEx>
        <w:trPr>
          <w:trHeight w:val="278"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20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计划生育费</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65,575.00</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65,575.00</w:t>
            </w:r>
          </w:p>
        </w:tc>
        <w:tc>
          <w:tcPr>
            <w:tcW w:w="1255"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814"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14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r>
      <w:tr>
        <w:tblPrEx>
          <w:tblCellMar>
            <w:top w:w="0" w:type="dxa"/>
            <w:left w:w="108" w:type="dxa"/>
            <w:bottom w:w="0" w:type="dxa"/>
            <w:right w:w="108" w:type="dxa"/>
          </w:tblCellMar>
        </w:tblPrEx>
        <w:trPr>
          <w:trHeight w:val="278"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20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乡村振兴及社会事务经费</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210,575.00</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210,355.00</w:t>
            </w:r>
          </w:p>
        </w:tc>
        <w:tc>
          <w:tcPr>
            <w:tcW w:w="1255"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99.9</w:t>
            </w:r>
          </w:p>
        </w:tc>
        <w:tc>
          <w:tcPr>
            <w:tcW w:w="814"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99.99</w:t>
            </w:r>
          </w:p>
        </w:tc>
        <w:tc>
          <w:tcPr>
            <w:tcW w:w="14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r>
      <w:tr>
        <w:tblPrEx>
          <w:tblCellMar>
            <w:top w:w="0" w:type="dxa"/>
            <w:left w:w="108" w:type="dxa"/>
            <w:bottom w:w="0" w:type="dxa"/>
            <w:right w:w="108" w:type="dxa"/>
          </w:tblCellMar>
        </w:tblPrEx>
        <w:trPr>
          <w:trHeight w:val="278"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20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独生子女保健费</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25,957.00</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25,957.00</w:t>
            </w:r>
          </w:p>
        </w:tc>
        <w:tc>
          <w:tcPr>
            <w:tcW w:w="1255"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814"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w:t>
            </w:r>
          </w:p>
        </w:tc>
        <w:tc>
          <w:tcPr>
            <w:tcW w:w="14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r>
      <w:tr>
        <w:tblPrEx>
          <w:tblCellMar>
            <w:top w:w="0" w:type="dxa"/>
            <w:left w:w="108" w:type="dxa"/>
            <w:bottom w:w="0" w:type="dxa"/>
            <w:right w:w="108" w:type="dxa"/>
          </w:tblCellMar>
        </w:tblPrEx>
        <w:trPr>
          <w:trHeight w:val="278" w:hRule="atLeast"/>
        </w:trPr>
        <w:tc>
          <w:tcPr>
            <w:tcW w:w="8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20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党训、人代会议</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45,000.00</w:t>
            </w:r>
          </w:p>
        </w:tc>
        <w:tc>
          <w:tcPr>
            <w:tcW w:w="1646"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44,975.00</w:t>
            </w:r>
          </w:p>
        </w:tc>
        <w:tc>
          <w:tcPr>
            <w:tcW w:w="1255"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99.94</w:t>
            </w:r>
          </w:p>
        </w:tc>
        <w:tc>
          <w:tcPr>
            <w:tcW w:w="814" w:type="dxa"/>
            <w:tcBorders>
              <w:top w:val="nil"/>
              <w:left w:val="nil"/>
              <w:bottom w:val="single" w:color="000000" w:sz="4" w:space="0"/>
              <w:right w:val="single" w:color="000000" w:sz="4" w:space="0"/>
            </w:tcBorders>
            <w:shd w:val="clear" w:color="auto" w:fill="auto"/>
            <w:noWrap/>
            <w:vAlign w:val="bottom"/>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99.99</w:t>
            </w:r>
          </w:p>
        </w:tc>
        <w:tc>
          <w:tcPr>
            <w:tcW w:w="14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r>
    </w:tbl>
    <w:p>
      <w:pPr>
        <w:spacing w:line="560" w:lineRule="exact"/>
        <w:rPr>
          <w:kern w:val="0"/>
          <w:szCs w:val="32"/>
        </w:rPr>
      </w:pPr>
    </w:p>
    <w:p>
      <w:pPr>
        <w:spacing w:line="560" w:lineRule="exact"/>
        <w:ind w:firstLine="600" w:firstLineChars="200"/>
        <w:rPr>
          <w:rFonts w:hint="eastAsia" w:eastAsia="仿宋_GB231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CESI宋体-GB2312">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mOGJhOGM4MTE3N2QxZDQ1MDBkMjQ1Y2U0YjdkZDYifQ=="/>
  </w:docVars>
  <w:rsids>
    <w:rsidRoot w:val="00F0438A"/>
    <w:rsid w:val="0002543B"/>
    <w:rsid w:val="00046CDF"/>
    <w:rsid w:val="00051661"/>
    <w:rsid w:val="0005542A"/>
    <w:rsid w:val="00056D42"/>
    <w:rsid w:val="000C5D58"/>
    <w:rsid w:val="000F49D8"/>
    <w:rsid w:val="00107540"/>
    <w:rsid w:val="00132494"/>
    <w:rsid w:val="00152DB7"/>
    <w:rsid w:val="00190C45"/>
    <w:rsid w:val="00192AE2"/>
    <w:rsid w:val="001B5A97"/>
    <w:rsid w:val="001F5173"/>
    <w:rsid w:val="00206119"/>
    <w:rsid w:val="002157CC"/>
    <w:rsid w:val="002266B8"/>
    <w:rsid w:val="00252BE2"/>
    <w:rsid w:val="0026555C"/>
    <w:rsid w:val="00267E9A"/>
    <w:rsid w:val="0029793D"/>
    <w:rsid w:val="002B3028"/>
    <w:rsid w:val="002D7422"/>
    <w:rsid w:val="002E4D02"/>
    <w:rsid w:val="002F559E"/>
    <w:rsid w:val="002F6B00"/>
    <w:rsid w:val="00322DFE"/>
    <w:rsid w:val="00324117"/>
    <w:rsid w:val="00350C9B"/>
    <w:rsid w:val="00372A62"/>
    <w:rsid w:val="00373086"/>
    <w:rsid w:val="0039644E"/>
    <w:rsid w:val="003B2639"/>
    <w:rsid w:val="003B5FF7"/>
    <w:rsid w:val="003F351F"/>
    <w:rsid w:val="004300CB"/>
    <w:rsid w:val="00443ACF"/>
    <w:rsid w:val="004573DF"/>
    <w:rsid w:val="00460289"/>
    <w:rsid w:val="00464C38"/>
    <w:rsid w:val="00465A51"/>
    <w:rsid w:val="004855A1"/>
    <w:rsid w:val="004A21F9"/>
    <w:rsid w:val="004D0C6D"/>
    <w:rsid w:val="004D33F9"/>
    <w:rsid w:val="004E0863"/>
    <w:rsid w:val="005247DF"/>
    <w:rsid w:val="00570F33"/>
    <w:rsid w:val="0059775E"/>
    <w:rsid w:val="005E2E1E"/>
    <w:rsid w:val="005F10DA"/>
    <w:rsid w:val="00600BE8"/>
    <w:rsid w:val="00605411"/>
    <w:rsid w:val="00614E74"/>
    <w:rsid w:val="0064255A"/>
    <w:rsid w:val="007114E7"/>
    <w:rsid w:val="00780CC2"/>
    <w:rsid w:val="00796115"/>
    <w:rsid w:val="00845328"/>
    <w:rsid w:val="008527BE"/>
    <w:rsid w:val="008907E1"/>
    <w:rsid w:val="008F5518"/>
    <w:rsid w:val="00924039"/>
    <w:rsid w:val="0092663B"/>
    <w:rsid w:val="0094241B"/>
    <w:rsid w:val="00971369"/>
    <w:rsid w:val="00984B30"/>
    <w:rsid w:val="00997EB0"/>
    <w:rsid w:val="009A6F86"/>
    <w:rsid w:val="009D6422"/>
    <w:rsid w:val="009F4669"/>
    <w:rsid w:val="00A16C86"/>
    <w:rsid w:val="00A87DF9"/>
    <w:rsid w:val="00AB7EB9"/>
    <w:rsid w:val="00AC65DC"/>
    <w:rsid w:val="00AD7D95"/>
    <w:rsid w:val="00B073C3"/>
    <w:rsid w:val="00B152E1"/>
    <w:rsid w:val="00B3617A"/>
    <w:rsid w:val="00B37754"/>
    <w:rsid w:val="00B44375"/>
    <w:rsid w:val="00B5218C"/>
    <w:rsid w:val="00B539C3"/>
    <w:rsid w:val="00B67638"/>
    <w:rsid w:val="00B714E1"/>
    <w:rsid w:val="00B818AB"/>
    <w:rsid w:val="00B81B92"/>
    <w:rsid w:val="00B87550"/>
    <w:rsid w:val="00BB6AE2"/>
    <w:rsid w:val="00BE577F"/>
    <w:rsid w:val="00BF0C4C"/>
    <w:rsid w:val="00BF176B"/>
    <w:rsid w:val="00BF4BA0"/>
    <w:rsid w:val="00BF6ABB"/>
    <w:rsid w:val="00C26DF8"/>
    <w:rsid w:val="00C3681F"/>
    <w:rsid w:val="00C505B8"/>
    <w:rsid w:val="00C57F28"/>
    <w:rsid w:val="00C71E14"/>
    <w:rsid w:val="00C87757"/>
    <w:rsid w:val="00CC032E"/>
    <w:rsid w:val="00CD472F"/>
    <w:rsid w:val="00D10220"/>
    <w:rsid w:val="00D11D25"/>
    <w:rsid w:val="00D12D85"/>
    <w:rsid w:val="00D30416"/>
    <w:rsid w:val="00D9481C"/>
    <w:rsid w:val="00DC18A3"/>
    <w:rsid w:val="00DD44D6"/>
    <w:rsid w:val="00E0104C"/>
    <w:rsid w:val="00E02B9E"/>
    <w:rsid w:val="00E37574"/>
    <w:rsid w:val="00E576D1"/>
    <w:rsid w:val="00E76A76"/>
    <w:rsid w:val="00F033BB"/>
    <w:rsid w:val="00F0438A"/>
    <w:rsid w:val="00F0711A"/>
    <w:rsid w:val="00F16305"/>
    <w:rsid w:val="00F4157C"/>
    <w:rsid w:val="00F629BE"/>
    <w:rsid w:val="00F74476"/>
    <w:rsid w:val="00F83C02"/>
    <w:rsid w:val="00FC01EE"/>
    <w:rsid w:val="00FF726D"/>
    <w:rsid w:val="01DD4987"/>
    <w:rsid w:val="025F284D"/>
    <w:rsid w:val="02D768EE"/>
    <w:rsid w:val="037979A5"/>
    <w:rsid w:val="04F47533"/>
    <w:rsid w:val="0506300F"/>
    <w:rsid w:val="05791EDF"/>
    <w:rsid w:val="06A77C67"/>
    <w:rsid w:val="087150EF"/>
    <w:rsid w:val="09C44BA0"/>
    <w:rsid w:val="0A1E4E03"/>
    <w:rsid w:val="0A4A209B"/>
    <w:rsid w:val="0B8D66E4"/>
    <w:rsid w:val="0DA77418"/>
    <w:rsid w:val="10152804"/>
    <w:rsid w:val="11895257"/>
    <w:rsid w:val="14262E15"/>
    <w:rsid w:val="148479C5"/>
    <w:rsid w:val="1540285A"/>
    <w:rsid w:val="174C1201"/>
    <w:rsid w:val="188166EF"/>
    <w:rsid w:val="19722A75"/>
    <w:rsid w:val="19C21652"/>
    <w:rsid w:val="1A0D4C8A"/>
    <w:rsid w:val="1D3A7D36"/>
    <w:rsid w:val="1D4110DC"/>
    <w:rsid w:val="1EAC6A29"/>
    <w:rsid w:val="1FD955FC"/>
    <w:rsid w:val="201725C8"/>
    <w:rsid w:val="21F030D1"/>
    <w:rsid w:val="22E42C35"/>
    <w:rsid w:val="250B7A94"/>
    <w:rsid w:val="26062EC3"/>
    <w:rsid w:val="266D785C"/>
    <w:rsid w:val="29C15F65"/>
    <w:rsid w:val="29FA5A75"/>
    <w:rsid w:val="2A6D1762"/>
    <w:rsid w:val="2E1D2B7A"/>
    <w:rsid w:val="3159659D"/>
    <w:rsid w:val="3166515D"/>
    <w:rsid w:val="32132BEF"/>
    <w:rsid w:val="333B5506"/>
    <w:rsid w:val="33613739"/>
    <w:rsid w:val="33835B53"/>
    <w:rsid w:val="35E54780"/>
    <w:rsid w:val="38305B7D"/>
    <w:rsid w:val="384635F3"/>
    <w:rsid w:val="38D35896"/>
    <w:rsid w:val="3AC3502E"/>
    <w:rsid w:val="3B003F2D"/>
    <w:rsid w:val="3C9A5CBB"/>
    <w:rsid w:val="3CB72D11"/>
    <w:rsid w:val="3D145A6E"/>
    <w:rsid w:val="3DEE7FED"/>
    <w:rsid w:val="3E06185A"/>
    <w:rsid w:val="3FD2104C"/>
    <w:rsid w:val="40095632"/>
    <w:rsid w:val="41EA5C7B"/>
    <w:rsid w:val="42F75C15"/>
    <w:rsid w:val="45124F88"/>
    <w:rsid w:val="456B28EB"/>
    <w:rsid w:val="45B46040"/>
    <w:rsid w:val="45E33707"/>
    <w:rsid w:val="46454759"/>
    <w:rsid w:val="469C0D81"/>
    <w:rsid w:val="472C4607"/>
    <w:rsid w:val="47AB6FCE"/>
    <w:rsid w:val="47CF3B52"/>
    <w:rsid w:val="48174664"/>
    <w:rsid w:val="4860425D"/>
    <w:rsid w:val="48AC1250"/>
    <w:rsid w:val="4A477482"/>
    <w:rsid w:val="4A950909"/>
    <w:rsid w:val="4C7E73A7"/>
    <w:rsid w:val="4D8363B4"/>
    <w:rsid w:val="4E1C6E78"/>
    <w:rsid w:val="4EE72FE2"/>
    <w:rsid w:val="4F5A7C58"/>
    <w:rsid w:val="519C4558"/>
    <w:rsid w:val="521A50DA"/>
    <w:rsid w:val="53560736"/>
    <w:rsid w:val="539077B5"/>
    <w:rsid w:val="53BF646E"/>
    <w:rsid w:val="53C6132D"/>
    <w:rsid w:val="53E04E0D"/>
    <w:rsid w:val="55DB13C7"/>
    <w:rsid w:val="5A6E07BD"/>
    <w:rsid w:val="5BF17543"/>
    <w:rsid w:val="5CB12E81"/>
    <w:rsid w:val="5CB5471F"/>
    <w:rsid w:val="5CF06B94"/>
    <w:rsid w:val="5DB20C5F"/>
    <w:rsid w:val="5DD45079"/>
    <w:rsid w:val="5EC21BA8"/>
    <w:rsid w:val="5F337B7D"/>
    <w:rsid w:val="5FEA016C"/>
    <w:rsid w:val="608A7C71"/>
    <w:rsid w:val="63021D41"/>
    <w:rsid w:val="6329551F"/>
    <w:rsid w:val="64007E18"/>
    <w:rsid w:val="64FC53D1"/>
    <w:rsid w:val="65644F35"/>
    <w:rsid w:val="66CA2962"/>
    <w:rsid w:val="671C6326"/>
    <w:rsid w:val="68F62348"/>
    <w:rsid w:val="692A3D9F"/>
    <w:rsid w:val="6935090A"/>
    <w:rsid w:val="69532E32"/>
    <w:rsid w:val="696A6892"/>
    <w:rsid w:val="697B51AC"/>
    <w:rsid w:val="69A43B52"/>
    <w:rsid w:val="69B26DF9"/>
    <w:rsid w:val="6B594853"/>
    <w:rsid w:val="6B9D2F4E"/>
    <w:rsid w:val="6D635AD2"/>
    <w:rsid w:val="6E130E35"/>
    <w:rsid w:val="6ED66404"/>
    <w:rsid w:val="6F2E7289"/>
    <w:rsid w:val="70BF0E31"/>
    <w:rsid w:val="70C745CA"/>
    <w:rsid w:val="70CD1F45"/>
    <w:rsid w:val="711710AD"/>
    <w:rsid w:val="72741D15"/>
    <w:rsid w:val="72F90BB3"/>
    <w:rsid w:val="732A495A"/>
    <w:rsid w:val="739A5FC5"/>
    <w:rsid w:val="74282C55"/>
    <w:rsid w:val="74AB65E8"/>
    <w:rsid w:val="76A416AB"/>
    <w:rsid w:val="77253DF8"/>
    <w:rsid w:val="77C41863"/>
    <w:rsid w:val="785F128C"/>
    <w:rsid w:val="78A56E7C"/>
    <w:rsid w:val="78C67ABC"/>
    <w:rsid w:val="798426E6"/>
    <w:rsid w:val="7BED66F0"/>
    <w:rsid w:val="7C3074C7"/>
    <w:rsid w:val="7CE008CD"/>
    <w:rsid w:val="7E9C625F"/>
    <w:rsid w:val="7EDA29FF"/>
    <w:rsid w:val="7EF41B00"/>
    <w:rsid w:val="7F392B36"/>
    <w:rsid w:val="7F991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autoSpaceDE w:val="0"/>
      <w:autoSpaceDN w:val="0"/>
      <w:spacing w:before="100" w:beforeAutospacing="1" w:after="100" w:afterAutospacing="1"/>
      <w:jc w:val="left"/>
    </w:pPr>
    <w:rPr>
      <w:rFonts w:ascii="宋体" w:hAnsi="宋体" w:eastAsia="宋体" w:cs="宋体"/>
      <w:kern w:val="0"/>
      <w:sz w:val="24"/>
      <w:szCs w:val="21"/>
    </w:rPr>
  </w:style>
  <w:style w:type="paragraph" w:styleId="5">
    <w:name w:val="Title"/>
    <w:basedOn w:val="1"/>
    <w:next w:val="1"/>
    <w:link w:val="9"/>
    <w:qFormat/>
    <w:uiPriority w:val="10"/>
    <w:pPr>
      <w:spacing w:before="240" w:after="60"/>
      <w:jc w:val="center"/>
      <w:outlineLvl w:val="0"/>
    </w:pPr>
    <w:rPr>
      <w:rFonts w:asciiTheme="majorHAnsi" w:hAnsiTheme="majorHAnsi" w:eastAsiaTheme="majorEastAsia" w:cstheme="majorBidi"/>
      <w:b/>
      <w:bCs/>
      <w:sz w:val="32"/>
      <w:szCs w:val="32"/>
    </w:rPr>
  </w:style>
  <w:style w:type="paragraph" w:customStyle="1" w:styleId="8">
    <w:name w:val="办公自动化专用标题"/>
    <w:basedOn w:val="5"/>
    <w:qFormat/>
    <w:uiPriority w:val="0"/>
    <w:pPr>
      <w:widowControl/>
      <w:spacing w:line="560" w:lineRule="atLeast"/>
    </w:pPr>
    <w:rPr>
      <w:rFonts w:ascii="宋体" w:hAnsi="Arial" w:eastAsia="宋体" w:cs="Times New Roman"/>
      <w:bCs w:val="0"/>
      <w:kern w:val="0"/>
      <w:sz w:val="44"/>
      <w:szCs w:val="44"/>
    </w:rPr>
  </w:style>
  <w:style w:type="character" w:customStyle="1" w:styleId="9">
    <w:name w:val="标题 字符"/>
    <w:basedOn w:val="7"/>
    <w:link w:val="5"/>
    <w:qFormat/>
    <w:uiPriority w:val="10"/>
    <w:rPr>
      <w:rFonts w:asciiTheme="majorHAnsi" w:hAnsiTheme="majorHAnsi" w:eastAsiaTheme="majorEastAsia" w:cstheme="majorBidi"/>
      <w:b/>
      <w:bCs/>
      <w:sz w:val="32"/>
      <w:szCs w:val="32"/>
    </w:rPr>
  </w:style>
  <w:style w:type="character" w:customStyle="1" w:styleId="10">
    <w:name w:val="页眉 字符"/>
    <w:basedOn w:val="7"/>
    <w:link w:val="3"/>
    <w:qFormat/>
    <w:uiPriority w:val="99"/>
    <w:rPr>
      <w:rFonts w:ascii="Times New Roman" w:hAnsi="Times New Roman" w:eastAsia="仿宋_GB2312" w:cs="Times New Roman"/>
      <w:sz w:val="18"/>
      <w:szCs w:val="18"/>
    </w:rPr>
  </w:style>
  <w:style w:type="character" w:customStyle="1" w:styleId="11">
    <w:name w:val="页脚 字符"/>
    <w:basedOn w:val="7"/>
    <w:link w:val="2"/>
    <w:autoRedefine/>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4771</Words>
  <Characters>5370</Characters>
  <Lines>41</Lines>
  <Paragraphs>11</Paragraphs>
  <TotalTime>8</TotalTime>
  <ScaleCrop>false</ScaleCrop>
  <LinksUpToDate>false</LinksUpToDate>
  <CharactersWithSpaces>5370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2024-06-29T03:32:00Z</dcterms:created>
  <dc:creator>李成名</dc:creator>
  <cp:lastModifiedBy>万年太久</cp:lastModifiedBy>
  <cp:lastPrinted>2022-03-24T07:31:00Z</cp:lastPrinted>
  <dcterms:modified xsi:type="dcterms:W3CDTF">2024-06-29T14:25:20Z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C85BEA3861C54250A58CB9B8C9F15760_13</vt:lpwstr>
  </property>
</Properties>
</file>