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2024年加快推进全市种业振兴工作要点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2024年，坚持以习近平新时代中国特色社会主义思想为指导，全面贯彻党的二十大，以及中央和省、市委农村工作会议精神，按照《加快推进种业振兴 打造种业强省行动方案》部署要求，在全市范围内实施“保护提升、推广利用、创新攻关、企业帮扶、市场净化”五大行动，加速推进全市种业振兴由“夯基固本”向“质效双升”迈进。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一、实施种业保护提升行动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（一）挖掘优异种质资源。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农作物、畜禽和农业微生物等已收集数据的查遗补漏工作，摸清全市种质资源种类、数量、分布及性状等基本情况，实现珍稀、濒危、特有资源应收尽收、应保尽保。推动普查结果应用，以主要粮食作物、特色优势作物和畜禽为重点，通过鉴定、评价等方式，继续挖掘本地优质种质、基因资源，鼓励申报新发现遗传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（二）规范保护体系建设。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完善市、区（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）联保体系，按照新颁布《安徽省农业种质资源保护场（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区、库、圃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）管理办法》要求，持续做好黟县香榧、黄山区野生灵芝、歙县三潭枇杷省级保护圃，皖南花猪、皖南中蜂、黄山黑鸡省级保种场（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）建设。鼓励围绕茶叶、菊花、中草药等建设保护圃，开发“六月黄”、多花黄精等资源，申报省级保护单位。继续推进“新安江水牛”（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暂定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）申报国家新发现遗传资源，建设保种场。支持“祁门豆花鸡”申报省级保种场。做好皖南花猪等地方品种地理标志认证申报工作。争取财政专项支持保种工作，加强保种经费管理，确保资金使用规范高效。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二、实施种业推广利用行动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（一）开展良种示范创建。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快构建主要农作物、重点区域的品种展示评价体系，通过召开观摩会、技术交流会等活动，组织涵盖优质水稻、特色玉米、地方大豆、抗逆性强油菜等新品种展示，系统、科学采集品种表现数据。支持“强英鸭”国家畜禽核心育种场继续承担畜禽遗传改良任务，开展生产性能测定等工作。加快构建皖南花猪、黄山黑鸡、“新安江水牛”（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暂定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）、皖南黄牛等良种繁育体系，鼓励市场主体创建标准化场区，整体提升全市畜禽种源数量和供种量。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（二）强化平台赋能增效。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发挥看禾选种平台作用，加快“农企”对接，推动稳定、丰产品种在种粮大户、专业合作社生产中的应用。争取在省级以上主流媒体设置黄山种业宣传阵地，聚焦保护利用成效、工作典型经验、政策要素保障等，开展多期专栏宣传推介，扩大优质资源影响力和知名度。聚焦“产加销”种业发展全产业链招商，积极开展特色农作物、畜禽电子商务等业态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创新、农村服务模式创新、休闲农业与乡村旅游产品创新，多平台展示成果，拓展种业发展空间。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三、实施种业创新攻关行动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（一）深化产学研用合作。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进一步完善市、区（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两级农作物试验点机械化、信息化、智能化建设，配备必要仓储设施。对黄山绿石农业发展有限公司进行升级改造。加强与科研院所、高等学校交流合作，围绕特色畜禽产业发展需求，成立皖南花猪研究院，实现科企服务精准对接。鼓励科研院所、高等学校参与本地种业发展规划等关键性政策编制，因地制宜开展特色农作物和畜禽等前沿及关键技术研究和成果转化、孵化，加强新品种、新品系的鉴定与选育，培育符合市场需求的优良品种，提升种业核心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（二）推进共享融合发展。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企业技术创新主体地位，支持企业建立创新联合体，牵头承担市级以上科研攻关任务和种业领域重大科技成果研发项目，引导企业加大研发投入。推行科技人员到企业兼职兼薪等政策，通过联结帮扶等机制吸纳创新人才。鼓励头部企业全产业链布局、运营，发挥各类协会沟通协调作用，建立产业联盟，推广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“生产基地+中央厨房+餐饮门店”“生产基地+加工企业+商超销售”等产品新型产销模式，鼓励发展产品电商和开设消费体验店，构建三产融合发展新格局。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四、实施种业企业帮扶行动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（一）强化企业主体培育。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鼓励本地农作物种子经销商与知名种业企业合作，加大政策引导、扶持力度，“内育外引”实现农作物持证种业企业“破零”。支持特色优势企业在农作物、畜禽地方品种等细分市场发挥作用，扩大特殊资源、特色品种、独特模式等竞争优势，培育一批在种业产业链、创新链、供应链重点环节提供专业化技术支撑或服务的平台型企业主体。鼓励实施兼并重组、整合资源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重点围绕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皖南花猪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黄山黑鸡、皖南中蜂、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“新安江水牛”（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暂定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着力打造研发能力强、产业带动广的航母型领军企业、特色优势企业，发展“单项冠军”。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（二）扶持壮大重点企业。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结合“三农”科技下乡、科技进万家、“头雁”领航等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组建一支业务能力强、服务水平高的高素质人才队伍，建立重点种业企业“一对一”联系机制，有针对性地为企业提供精准政策、经验技术等指导服务，想方设法解决企业在生产经营中遇到的困难和问题，支持种业企业做大做强。积极为企纾困解难，做好金融业务、人才引进、建设用地等扶持政策协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争取、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地见效，引导资源、技术、人才、资本等要素向重点优势企业集聚，激发企业内生动能。扶优劣汰、优化结构，推进种业产业去产能，以品牌经营、冷链流通为主攻方向，支持发展特色农作物、畜禽产品深加工和副产品综合利用，鼓励“保育繁推服”一体化经营企业逐步成为种质资源开发利用的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五、实施种业市场净化行动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zh-CN" w:eastAsia="zh-CN"/>
        </w:rPr>
        <w:t>（一）织密市场监管网络。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落细农作物种子市场网格化监管，确保“层层负责、网格到底、责任到人、全面覆盖、公示上墙”。指导农资店主做好全年种子经营备案，不定期组织开展市、县检查，发现问题清单式整改销号。加强种子检验站软硬件建设和检验人员能力培训，优化检测手段、提高检测水平，在用种关键时点，做好重点区域、重点品种种子质量抽检工作。建立健全场内测定和集中测定相结合的种畜禽生产性能测定体系，加强冻精等畜禽遗传物质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zh-CN" w:eastAsia="zh-CN"/>
        </w:rPr>
        <w:t>（二）提升执法质量效能。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落实国家及省、市种子质量安全监管工作要求，联合市监、公安等部门，明确专人专班，重点开展春秋季市场检查、农资打假、“双随机、一公开”联查和冬季企业监督抽查等活动，严厉打击假冒伪劣、套牌侵权、私屠滥宰等违法犯罪行为。通过现场走访、科普讲座等形式，组织执法人员向群众普及涉种法律法规，营造全社会知法守法氛围，建立长效机制持续净化种业市场环境，确保全年不发生假劣种子等重大违法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1.黄山市2024年种业振兴工作任务分解表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w w:val="9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黄山市2024年省级以上种业振兴重点项目清单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3.黄山市2024年种业振兴信息宣传月评分表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黄山市2024年种业振兴工作任务分解表</w:t>
      </w:r>
    </w:p>
    <w:tbl>
      <w:tblPr>
        <w:tblStyle w:val="3"/>
        <w:tblW w:w="10920" w:type="dxa"/>
        <w:tblInd w:w="-1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50"/>
        <w:gridCol w:w="3105"/>
        <w:gridCol w:w="3420"/>
        <w:gridCol w:w="208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序号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领域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分类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目标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完成时限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种业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保护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提升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开展种质资源普查查遗补漏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收集保存畜禽种质资源超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110份，登记选送农作物资源超300份。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推动普查结果应用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继续挖掘优质种质、基因资源。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提升省级保护圃（场、区）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按照新《办法》要求，做好7个省级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保护圃（场、区）建设提升，确保种源数量和供种量不降低。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4月底前编制《提升方案》，11月底前报送《完成情况》。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重点任务，区县牵头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建设区域优质品种资源圃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围绕茶叶、菊花、中草药、“六月黄”等本地优质种质资源，建设保护圃。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申报新发现遗传资源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推进“新安江水牛”（暂定）申报国家新发现遗传资源。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申报省级保种场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利用项目支持，做好“祁门豆花鸡”保种场建设，争取申报省级保种场。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推进地理标志认证申报工作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推进皖南花猪地方品种地理标志认证申报工作。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2025年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种业推广利用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开展农作物新品种展示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展示示范农作物新品种超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50个、面积超5000亩。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开展良种推介活动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开展观摩推介活动超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10次，推介品种超30个，主要良种覆盖率达到96%。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加快良繁基地建设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鼓励强英鸭等特色畜禽开展遗传改良，支持创建标准化场区。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做好种业振兴集中宣传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在省级以上主流媒体开设专栏，发布信息不少于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12条。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种业创新攻关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实现试验站升级改造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对黄山绿石农业发展有限公司试验站进行升级改造。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成立皖南花猪研究院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成立皖南花猪研究院实现科企服务精准对接。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新品种测试平台提升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完成省级年度区试、生试任务。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品种培育取得突破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全市农作物优良品种获得省级认定达到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4个。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种业企业帮扶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争取持证种业企业“破零”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加大政策引导、扶持力度，“内育外引”争取农作物持证种业企业“破零”。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打造特色畜禽“头部企业”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每种特色畜禽“养加销”均有代表企业，形成全链发展格局。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开展活动赋能企业发展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继续开展“三农”科技下乡、科技进万家、“头雁”领航等活动，助力企业发展。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建立“一对一”联结帮扶机制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遴选一批技术干部，与重点种业企业建立“一对一”联系帮扶。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种业产值实现增长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全市种业产值增幅超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8%。</w:t>
            </w:r>
          </w:p>
        </w:tc>
        <w:tc>
          <w:tcPr>
            <w:tcW w:w="20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7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zh-CN" w:eastAsia="zh-CN"/>
              </w:rPr>
              <w:t>种业市场净化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实施农作种子网格化监管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按照省厅要求，做好农作物种子网格化监管各项工作。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开展农资经营主体规范性自查和“回头看”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不定期开展农资经营主体自查和“回头看”，发现问题清单式销号，规范全市春秋季种子市场经营备案等。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做好种子质量抽检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做好春秋季重点区域、重点品种种子质量抽检，及时公布检测结果。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开展市场检查、联查和抽查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重点开展春秋季种子市场省级检查、市级互查，“双随机、一公开”联查和农资打假企业抽查等。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打击涉种违法犯罪行为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严厉打击假冒伪劣、套牌侵权、私屠滥宰等违法犯罪行为。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7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zh-CN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开展涉种普法活动</w:t>
            </w: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  <w:t>通过现场走访、科普讲座等形式，组织执法人员向群众普及涉种法律法规。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12月底前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zh-C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黄山市2024年省级以上种业振兴重点项目清单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单位：万元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550"/>
        <w:gridCol w:w="5790"/>
        <w:gridCol w:w="915"/>
        <w:gridCol w:w="870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区  县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主要任务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项目性质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资金分配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推进情况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黄山区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农作物新品种区试</w:t>
            </w:r>
          </w:p>
        </w:tc>
        <w:tc>
          <w:tcPr>
            <w:tcW w:w="5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开展农作物新品种区试3组、生试1组，稻瘟病稻釉病田间自然诱发20份样品鉴定。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徽州区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皖南花猪保护利用</w:t>
            </w:r>
          </w:p>
        </w:tc>
        <w:tc>
          <w:tcPr>
            <w:tcW w:w="5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皖南花猪母猪达到100头以上、公猪12头以上，三代之内没有血缘关系的家系数量不少于6个；完善信息化监管设备。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歙  县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皖南中蜂保护利用</w:t>
            </w:r>
          </w:p>
        </w:tc>
        <w:tc>
          <w:tcPr>
            <w:tcW w:w="5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皖南中蜂达到60箱以上。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休宁县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强英鸭生产性能测定</w:t>
            </w:r>
          </w:p>
        </w:tc>
        <w:tc>
          <w:tcPr>
            <w:tcW w:w="5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国家级水禽核心育种场强英鸭生产性能检测1.2万只。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国家级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黟  县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黄山黑鸡保护场改造提升</w:t>
            </w:r>
          </w:p>
        </w:tc>
        <w:tc>
          <w:tcPr>
            <w:tcW w:w="5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建设完善黄山黑鸡保种场（含信息化监控设施建设），母鸡达到600只以上，公鸡不少于30个家系。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祁门县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祁门豆花鸡临时保护</w:t>
            </w:r>
          </w:p>
        </w:tc>
        <w:tc>
          <w:tcPr>
            <w:tcW w:w="5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开展祁门豆花鸡新鉴定品种临时性保护工作。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市  级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种子市场抽检及生试</w:t>
            </w:r>
          </w:p>
        </w:tc>
        <w:tc>
          <w:tcPr>
            <w:tcW w:w="5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种子市场抽查扦样及净度、发芽率、水分检测，样品数量不少于40个；开展农作物新品种生试1组。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省级</w:t>
            </w: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合  计</w:t>
            </w:r>
          </w:p>
        </w:tc>
        <w:tc>
          <w:tcPr>
            <w:tcW w:w="92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182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黄山市2024年种业振兴信息宣传月评分表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                 时间：2024年X月X日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85"/>
        <w:gridCol w:w="1170"/>
        <w:gridCol w:w="2145"/>
        <w:gridCol w:w="5579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区县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任务量（月）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采用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情况</w:t>
            </w:r>
          </w:p>
        </w:tc>
        <w:tc>
          <w:tcPr>
            <w:tcW w:w="55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重点领域约稿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（仅供参考）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（月）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屯溪区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本地农作物保护圃等资源保护利用。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黄山区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新品种区试、生试，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省级保护圃，黑猪等资源保护利用。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徽州区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茶叶等作物保护圃，皖南花猪等资源保护利用。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歙县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“六月黄”、省级保护圃，皖南中蜂等资源保护利用。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休宁县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菊花等作物保护圃，强英鸭、新安江水牛等资源保护利用。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黟县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黄山黑鸡省级项目，“五黑”等资源保护利用。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祁门县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新安小红桔，中草药，祁门豆花鸡等资源保护利用。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备注: 1.信息以宣传种业保护利用成效、工作典型经验等为主。2.区县完成每月2篇信息报送，得到基础分50分，少1篇扣25分。 3.在完成报送任务基础上，主流媒体（报、台等）每采用1篇国家级得15分、省级5分、市级2分；政务信息（委、办等）每采用1篇国家级得50分、省级20分、市级5分，其它不得分。 4.重点领域约稿不定期更新，市级协助完善稿件，将作为优先信息推报省级以上主流媒体。 5.评分制自3月份开始，每月底在全市种业振兴工作群通报信息采用、得分情况。 6.年终统计总得分，作为2024年种业振兴考核重要依据（基础分+信息分）。 7.区县确定联络员1名，每月28日前将信息采用情况、链接报送畜牧渔业科（0559—2320216），联系人：谢安平。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NDVkYWU5NjdhMmJkM2JiY2Q0MDIwMzRiNTZkZGYifQ=="/>
  </w:docVars>
  <w:rsids>
    <w:rsidRoot w:val="00000000"/>
    <w:rsid w:val="09E1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4701</Words>
  <Characters>4835</Characters>
  <Lines>0</Lines>
  <Paragraphs>0</Paragraphs>
  <TotalTime>0</TotalTime>
  <ScaleCrop>false</ScaleCrop>
  <LinksUpToDate>false</LinksUpToDate>
  <CharactersWithSpaces>4990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Mr.凌</cp:lastModifiedBy>
  <dcterms:modified xsi:type="dcterms:W3CDTF">2024-04-16T07:54:18Z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440AD56EC65040858DA3F7956F355266_12</vt:lpwstr>
  </property>
</Properties>
</file>