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240" w:lineRule="auto"/>
        <w:jc w:val="center"/>
        <w:textAlignment w:val="auto"/>
        <w:rPr>
          <w:rFonts w:hint="eastAsia" w:ascii="方正小标宋_GBK" w:hAnsi="方正小标宋_GBK" w:eastAsia="方正小标宋_GBK" w:cs="方正小标宋_GBK"/>
          <w:b w:val="0"/>
          <w:bCs w:val="0"/>
          <w:spacing w:val="-6"/>
          <w:sz w:val="52"/>
          <w:szCs w:val="52"/>
          <w:u w:val="none"/>
          <w:lang w:eastAsia="zh-CN"/>
        </w:rPr>
      </w:pPr>
    </w:p>
    <w:p>
      <w:pPr>
        <w:keepNext w:val="0"/>
        <w:keepLines w:val="0"/>
        <w:pageBreakBefore w:val="0"/>
        <w:kinsoku/>
        <w:overflowPunct/>
        <w:topLinePunct w:val="0"/>
        <w:autoSpaceDE/>
        <w:autoSpaceDN/>
        <w:bidi w:val="0"/>
        <w:spacing w:line="240" w:lineRule="auto"/>
        <w:jc w:val="center"/>
        <w:textAlignment w:val="auto"/>
        <w:rPr>
          <w:rFonts w:hint="eastAsia" w:ascii="方正小标宋_GBK" w:hAnsi="方正小标宋_GBK" w:eastAsia="方正小标宋_GBK" w:cs="方正小标宋_GBK"/>
          <w:b w:val="0"/>
          <w:bCs w:val="0"/>
          <w:spacing w:val="-6"/>
          <w:sz w:val="52"/>
          <w:szCs w:val="52"/>
          <w:u w:val="none"/>
          <w:lang w:eastAsia="zh-CN"/>
        </w:rPr>
      </w:pPr>
    </w:p>
    <w:p>
      <w:pPr>
        <w:keepNext w:val="0"/>
        <w:keepLines w:val="0"/>
        <w:pageBreakBefore w:val="0"/>
        <w:kinsoku/>
        <w:overflowPunct/>
        <w:topLinePunct w:val="0"/>
        <w:autoSpaceDE/>
        <w:autoSpaceDN/>
        <w:bidi w:val="0"/>
        <w:spacing w:line="240" w:lineRule="auto"/>
        <w:jc w:val="center"/>
        <w:textAlignment w:val="auto"/>
        <w:rPr>
          <w:rFonts w:hint="eastAsia" w:ascii="方正小标宋_GBK" w:hAnsi="方正小标宋_GBK" w:eastAsia="方正小标宋_GBK" w:cs="方正小标宋_GBK"/>
          <w:b w:val="0"/>
          <w:bCs w:val="0"/>
          <w:spacing w:val="-6"/>
          <w:sz w:val="52"/>
          <w:szCs w:val="52"/>
          <w:u w:val="none"/>
          <w:lang w:eastAsia="zh-CN"/>
        </w:rPr>
      </w:pPr>
      <w:r>
        <w:rPr>
          <w:rFonts w:hint="eastAsia" w:ascii="方正小标宋_GBK" w:hAnsi="方正小标宋_GBK" w:eastAsia="方正小标宋_GBK" w:cs="方正小标宋_GBK"/>
          <w:b w:val="0"/>
          <w:bCs w:val="0"/>
          <w:spacing w:val="-6"/>
          <w:sz w:val="52"/>
          <w:szCs w:val="52"/>
          <w:u w:val="none"/>
          <w:lang w:eastAsia="zh-CN"/>
        </w:rPr>
        <w:t>黄山市歙县</w:t>
      </w:r>
      <w:r>
        <w:rPr>
          <w:rFonts w:hint="eastAsia" w:ascii="方正小标宋_GBK" w:hAnsi="方正小标宋_GBK" w:eastAsia="方正小标宋_GBK" w:cs="方正小标宋_GBK"/>
          <w:b w:val="0"/>
          <w:bCs w:val="0"/>
          <w:spacing w:val="-6"/>
          <w:sz w:val="52"/>
          <w:szCs w:val="52"/>
          <w:u w:val="none"/>
          <w:lang w:val="en-US" w:eastAsia="zh-CN"/>
        </w:rPr>
        <w:t>生态</w:t>
      </w:r>
      <w:r>
        <w:rPr>
          <w:rFonts w:hint="eastAsia" w:ascii="方正小标宋_GBK" w:hAnsi="方正小标宋_GBK" w:eastAsia="方正小标宋_GBK" w:cs="方正小标宋_GBK"/>
          <w:b w:val="0"/>
          <w:bCs w:val="0"/>
          <w:spacing w:val="-6"/>
          <w:sz w:val="52"/>
          <w:szCs w:val="52"/>
          <w:u w:val="none"/>
          <w:lang w:eastAsia="zh-CN"/>
        </w:rPr>
        <w:t>环境分局</w:t>
      </w:r>
    </w:p>
    <w:p>
      <w:pPr>
        <w:keepNext w:val="0"/>
        <w:keepLines w:val="0"/>
        <w:pageBreakBefore w:val="0"/>
        <w:kinsoku/>
        <w:overflowPunct/>
        <w:topLinePunct w:val="0"/>
        <w:autoSpaceDE/>
        <w:autoSpaceDN/>
        <w:bidi w:val="0"/>
        <w:spacing w:line="240" w:lineRule="auto"/>
        <w:jc w:val="center"/>
        <w:textAlignment w:val="auto"/>
        <w:rPr>
          <w:rFonts w:hint="eastAsia" w:ascii="方正小标宋_GBK" w:hAnsi="方正小标宋_GBK" w:eastAsia="方正小标宋_GBK" w:cs="方正小标宋_GBK"/>
          <w:b w:val="0"/>
          <w:bCs w:val="0"/>
          <w:spacing w:val="-6"/>
          <w:sz w:val="52"/>
          <w:szCs w:val="52"/>
          <w:u w:val="none"/>
        </w:rPr>
      </w:pPr>
      <w:r>
        <w:rPr>
          <w:rFonts w:hint="eastAsia" w:ascii="方正小标宋_GBK" w:hAnsi="方正小标宋_GBK" w:eastAsia="方正小标宋_GBK" w:cs="方正小标宋_GBK"/>
          <w:b w:val="0"/>
          <w:bCs w:val="0"/>
          <w:spacing w:val="-6"/>
          <w:sz w:val="52"/>
          <w:szCs w:val="52"/>
          <w:u w:val="none"/>
        </w:rPr>
        <w:t>突发环境事件应急预案</w:t>
      </w:r>
    </w:p>
    <w:p>
      <w:pPr>
        <w:pStyle w:val="3"/>
        <w:keepNext w:val="0"/>
        <w:keepLines w:val="0"/>
        <w:pageBreakBefore w:val="0"/>
        <w:kinsoku/>
        <w:overflowPunct/>
        <w:topLinePunct w:val="0"/>
        <w:autoSpaceDE/>
        <w:autoSpaceDN/>
        <w:bidi w:val="0"/>
        <w:spacing w:line="240" w:lineRule="auto"/>
        <w:ind w:firstLine="0" w:firstLineChars="0"/>
        <w:jc w:val="center"/>
        <w:textAlignment w:val="auto"/>
        <w:rPr>
          <w:rFonts w:hint="eastAsia" w:ascii="方正仿宋_GBK" w:hAnsi="方正仿宋_GBK" w:eastAsia="方正仿宋_GBK" w:cs="方正仿宋_GBK"/>
          <w:b w:val="0"/>
          <w:bCs w:val="0"/>
          <w:spacing w:val="-6"/>
          <w:sz w:val="44"/>
          <w:szCs w:val="44"/>
          <w:u w:val="none"/>
        </w:rPr>
      </w:pPr>
    </w:p>
    <w:p>
      <w:pPr>
        <w:keepNext w:val="0"/>
        <w:keepLines w:val="0"/>
        <w:pageBreakBefore w:val="0"/>
        <w:kinsoku/>
        <w:overflowPunct/>
        <w:topLinePunct w:val="0"/>
        <w:autoSpaceDE/>
        <w:autoSpaceDN/>
        <w:bidi w:val="0"/>
        <w:spacing w:line="240" w:lineRule="auto"/>
        <w:textAlignment w:val="auto"/>
        <w:rPr>
          <w:rFonts w:hint="eastAsia" w:ascii="方正小标宋简体" w:hAnsi="方正小标宋简体" w:eastAsia="方正小标宋简体" w:cs="方正小标宋简体"/>
          <w:b w:val="0"/>
          <w:bCs w:val="0"/>
          <w:spacing w:val="-6"/>
          <w:sz w:val="44"/>
          <w:szCs w:val="44"/>
          <w:u w:val="none"/>
        </w:rPr>
      </w:pPr>
    </w:p>
    <w:p>
      <w:pPr>
        <w:pStyle w:val="3"/>
        <w:keepNext w:val="0"/>
        <w:keepLines w:val="0"/>
        <w:pageBreakBefore w:val="0"/>
        <w:kinsoku/>
        <w:overflowPunct/>
        <w:topLinePunct w:val="0"/>
        <w:autoSpaceDE/>
        <w:autoSpaceDN/>
        <w:bidi w:val="0"/>
        <w:spacing w:line="240" w:lineRule="auto"/>
        <w:textAlignment w:val="auto"/>
        <w:rPr>
          <w:rFonts w:hint="eastAsia" w:ascii="方正小标宋简体" w:hAnsi="方正小标宋简体" w:eastAsia="方正小标宋简体" w:cs="方正小标宋简体"/>
          <w:b w:val="0"/>
          <w:bCs w:val="0"/>
          <w:spacing w:val="-6"/>
          <w:sz w:val="44"/>
          <w:szCs w:val="44"/>
          <w:u w:val="none"/>
        </w:rPr>
      </w:pPr>
    </w:p>
    <w:p>
      <w:pPr>
        <w:pStyle w:val="3"/>
        <w:keepNext w:val="0"/>
        <w:keepLines w:val="0"/>
        <w:pageBreakBefore w:val="0"/>
        <w:kinsoku/>
        <w:overflowPunct/>
        <w:topLinePunct w:val="0"/>
        <w:autoSpaceDE/>
        <w:autoSpaceDN/>
        <w:bidi w:val="0"/>
        <w:spacing w:line="240" w:lineRule="auto"/>
        <w:textAlignment w:val="auto"/>
        <w:rPr>
          <w:rFonts w:hint="eastAsia" w:ascii="方正小标宋简体" w:hAnsi="方正小标宋简体" w:eastAsia="方正小标宋简体" w:cs="方正小标宋简体"/>
          <w:b w:val="0"/>
          <w:bCs w:val="0"/>
          <w:spacing w:val="-6"/>
          <w:sz w:val="44"/>
          <w:szCs w:val="44"/>
          <w:u w:val="none"/>
        </w:rPr>
      </w:pPr>
    </w:p>
    <w:p>
      <w:pPr>
        <w:keepNext w:val="0"/>
        <w:keepLines w:val="0"/>
        <w:pageBreakBefore w:val="0"/>
        <w:kinsoku/>
        <w:overflowPunct/>
        <w:topLinePunct w:val="0"/>
        <w:autoSpaceDE/>
        <w:autoSpaceDN/>
        <w:bidi w:val="0"/>
        <w:spacing w:line="240" w:lineRule="auto"/>
        <w:textAlignment w:val="auto"/>
        <w:rPr>
          <w:rFonts w:hint="eastAsia" w:ascii="方正小标宋简体" w:hAnsi="方正小标宋简体" w:eastAsia="方正小标宋简体" w:cs="方正小标宋简体"/>
          <w:b w:val="0"/>
          <w:bCs w:val="0"/>
          <w:spacing w:val="-6"/>
          <w:sz w:val="44"/>
          <w:szCs w:val="44"/>
          <w:u w:val="none"/>
        </w:rPr>
      </w:pPr>
    </w:p>
    <w:p>
      <w:pPr>
        <w:pStyle w:val="3"/>
        <w:keepNext w:val="0"/>
        <w:keepLines w:val="0"/>
        <w:pageBreakBefore w:val="0"/>
        <w:kinsoku/>
        <w:overflowPunct/>
        <w:topLinePunct w:val="0"/>
        <w:autoSpaceDE/>
        <w:autoSpaceDN/>
        <w:bidi w:val="0"/>
        <w:spacing w:line="240" w:lineRule="auto"/>
        <w:textAlignment w:val="auto"/>
        <w:rPr>
          <w:rFonts w:hint="eastAsia" w:ascii="方正小标宋简体" w:hAnsi="方正小标宋简体" w:eastAsia="方正小标宋简体" w:cs="方正小标宋简体"/>
          <w:b w:val="0"/>
          <w:bCs w:val="0"/>
          <w:spacing w:val="-6"/>
          <w:sz w:val="44"/>
          <w:szCs w:val="44"/>
          <w:u w:val="none"/>
        </w:rPr>
      </w:pPr>
    </w:p>
    <w:p>
      <w:pPr>
        <w:keepNext w:val="0"/>
        <w:keepLines w:val="0"/>
        <w:pageBreakBefore w:val="0"/>
        <w:kinsoku/>
        <w:overflowPunct/>
        <w:topLinePunct w:val="0"/>
        <w:autoSpaceDE/>
        <w:autoSpaceDN/>
        <w:bidi w:val="0"/>
        <w:spacing w:line="240" w:lineRule="auto"/>
        <w:textAlignment w:val="auto"/>
        <w:rPr>
          <w:rFonts w:hint="eastAsia" w:ascii="方正小标宋简体" w:hAnsi="方正小标宋简体" w:eastAsia="方正小标宋简体" w:cs="方正小标宋简体"/>
          <w:b w:val="0"/>
          <w:bCs w:val="0"/>
          <w:spacing w:val="-6"/>
          <w:sz w:val="44"/>
          <w:szCs w:val="44"/>
          <w:u w:val="none"/>
        </w:rPr>
      </w:pPr>
    </w:p>
    <w:p>
      <w:pPr>
        <w:keepNext w:val="0"/>
        <w:keepLines w:val="0"/>
        <w:pageBreakBefore w:val="0"/>
        <w:kinsoku/>
        <w:overflowPunct/>
        <w:topLinePunct w:val="0"/>
        <w:autoSpaceDE/>
        <w:autoSpaceDN/>
        <w:bidi w:val="0"/>
        <w:spacing w:line="240" w:lineRule="auto"/>
        <w:textAlignment w:val="auto"/>
        <w:rPr>
          <w:rFonts w:hint="eastAsia" w:ascii="方正小标宋简体" w:hAnsi="方正小标宋简体" w:eastAsia="方正小标宋简体" w:cs="方正小标宋简体"/>
          <w:b w:val="0"/>
          <w:bCs w:val="0"/>
          <w:spacing w:val="-6"/>
          <w:sz w:val="44"/>
          <w:szCs w:val="44"/>
          <w:u w:val="none"/>
        </w:rPr>
      </w:pPr>
    </w:p>
    <w:p>
      <w:pPr>
        <w:keepNext w:val="0"/>
        <w:keepLines w:val="0"/>
        <w:pageBreakBefore w:val="0"/>
        <w:kinsoku/>
        <w:overflowPunct/>
        <w:topLinePunct w:val="0"/>
        <w:autoSpaceDE/>
        <w:autoSpaceDN/>
        <w:bidi w:val="0"/>
        <w:spacing w:line="240" w:lineRule="auto"/>
        <w:textAlignment w:val="auto"/>
        <w:rPr>
          <w:rFonts w:hint="eastAsia" w:ascii="方正小标宋简体" w:hAnsi="方正小标宋简体" w:eastAsia="方正小标宋简体" w:cs="方正小标宋简体"/>
          <w:b w:val="0"/>
          <w:bCs w:val="0"/>
          <w:spacing w:val="-6"/>
          <w:sz w:val="44"/>
          <w:szCs w:val="44"/>
          <w:u w:val="none"/>
        </w:rPr>
      </w:pPr>
    </w:p>
    <w:p>
      <w:pPr>
        <w:keepNext w:val="0"/>
        <w:keepLines w:val="0"/>
        <w:pageBreakBefore w:val="0"/>
        <w:kinsoku/>
        <w:overflowPunct/>
        <w:topLinePunct w:val="0"/>
        <w:autoSpaceDE/>
        <w:autoSpaceDN/>
        <w:bidi w:val="0"/>
        <w:spacing w:line="240" w:lineRule="auto"/>
        <w:textAlignment w:val="auto"/>
        <w:rPr>
          <w:rFonts w:hint="eastAsia" w:ascii="方正小标宋简体" w:hAnsi="方正小标宋简体" w:eastAsia="方正小标宋简体" w:cs="方正小标宋简体"/>
          <w:b w:val="0"/>
          <w:bCs w:val="0"/>
          <w:spacing w:val="-6"/>
          <w:sz w:val="44"/>
          <w:szCs w:val="44"/>
          <w:u w:val="none"/>
        </w:rPr>
      </w:pPr>
    </w:p>
    <w:p>
      <w:pPr>
        <w:keepNext w:val="0"/>
        <w:keepLines w:val="0"/>
        <w:pageBreakBefore w:val="0"/>
        <w:kinsoku/>
        <w:overflowPunct/>
        <w:topLinePunct w:val="0"/>
        <w:autoSpaceDE/>
        <w:autoSpaceDN/>
        <w:bidi w:val="0"/>
        <w:spacing w:line="240" w:lineRule="auto"/>
        <w:textAlignment w:val="auto"/>
        <w:rPr>
          <w:rFonts w:hint="eastAsia" w:ascii="方正小标宋简体" w:hAnsi="方正小标宋简体" w:eastAsia="方正小标宋简体" w:cs="方正小标宋简体"/>
          <w:b w:val="0"/>
          <w:bCs w:val="0"/>
          <w:spacing w:val="-6"/>
          <w:sz w:val="44"/>
          <w:szCs w:val="44"/>
          <w:u w:val="none"/>
        </w:rPr>
      </w:pPr>
    </w:p>
    <w:p>
      <w:pPr>
        <w:keepNext w:val="0"/>
        <w:keepLines w:val="0"/>
        <w:pageBreakBefore w:val="0"/>
        <w:kinsoku/>
        <w:overflowPunct/>
        <w:topLinePunct w:val="0"/>
        <w:autoSpaceDE/>
        <w:autoSpaceDN/>
        <w:bidi w:val="0"/>
        <w:spacing w:line="240" w:lineRule="auto"/>
        <w:textAlignment w:val="auto"/>
        <w:rPr>
          <w:rFonts w:hint="eastAsia" w:ascii="方正小标宋简体" w:hAnsi="方正小标宋简体" w:eastAsia="方正小标宋简体" w:cs="方正小标宋简体"/>
          <w:b w:val="0"/>
          <w:bCs w:val="0"/>
          <w:spacing w:val="-6"/>
          <w:sz w:val="44"/>
          <w:szCs w:val="44"/>
          <w:u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黄山市歙县生态环境分局</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方正小标宋简体" w:hAnsi="方正小标宋简体" w:eastAsia="方正小标宋简体" w:cs="方正小标宋简体"/>
          <w:b w:val="0"/>
          <w:bCs w:val="0"/>
          <w:spacing w:val="-6"/>
          <w:sz w:val="44"/>
          <w:szCs w:val="44"/>
          <w:u w:val="none"/>
        </w:rPr>
      </w:pPr>
      <w:r>
        <w:rPr>
          <w:rFonts w:hint="eastAsia" w:ascii="仿宋" w:hAnsi="仿宋" w:eastAsia="仿宋" w:cs="仿宋"/>
          <w:b/>
          <w:bCs/>
          <w:color w:val="auto"/>
          <w:sz w:val="32"/>
          <w:szCs w:val="32"/>
          <w:lang w:val="en-US" w:eastAsia="zh-CN"/>
        </w:rPr>
        <w:t>二〇二三年五月</w:t>
      </w:r>
    </w:p>
    <w:p>
      <w:pPr>
        <w:keepNext w:val="0"/>
        <w:keepLines w:val="0"/>
        <w:pageBreakBefore w:val="0"/>
        <w:kinsoku/>
        <w:overflowPunct/>
        <w:topLinePunct w:val="0"/>
        <w:autoSpaceDE/>
        <w:autoSpaceDN/>
        <w:bidi w:val="0"/>
        <w:spacing w:line="560" w:lineRule="exact"/>
        <w:textAlignment w:val="auto"/>
        <w:rPr>
          <w:rFonts w:hint="eastAsia" w:ascii="方正小标宋简体" w:hAnsi="方正小标宋简体" w:eastAsia="方正小标宋简体" w:cs="方正小标宋简体"/>
          <w:b w:val="0"/>
          <w:bCs w:val="0"/>
          <w:spacing w:val="-6"/>
          <w:sz w:val="44"/>
          <w:szCs w:val="44"/>
          <w:u w:val="none"/>
        </w:rPr>
      </w:pPr>
      <w:r>
        <w:rPr>
          <w:rFonts w:hint="eastAsia" w:ascii="方正小标宋简体" w:hAnsi="方正小标宋简体" w:eastAsia="方正小标宋简体" w:cs="方正小标宋简体"/>
          <w:b w:val="0"/>
          <w:bCs w:val="0"/>
          <w:spacing w:val="-6"/>
          <w:sz w:val="44"/>
          <w:szCs w:val="44"/>
          <w:u w:val="none"/>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_GBK" w:hAnsi="方正小标宋_GBK" w:eastAsia="方正小标宋_GBK" w:cs="方正小标宋_GBK"/>
          <w:spacing w:val="-6"/>
          <w:sz w:val="44"/>
          <w:szCs w:val="44"/>
        </w:rPr>
      </w:pPr>
      <w:r>
        <w:rPr>
          <w:rFonts w:hint="eastAsia" w:ascii="方正小标宋_GBK" w:hAnsi="方正小标宋_GBK" w:eastAsia="方正小标宋_GBK" w:cs="方正小标宋_GBK"/>
          <w:spacing w:val="-6"/>
          <w:sz w:val="44"/>
          <w:szCs w:val="44"/>
        </w:rPr>
        <w:t>黄山市</w:t>
      </w:r>
      <w:r>
        <w:rPr>
          <w:rFonts w:hint="eastAsia" w:ascii="方正小标宋_GBK" w:hAnsi="方正小标宋_GBK" w:eastAsia="方正小标宋_GBK" w:cs="方正小标宋_GBK"/>
          <w:spacing w:val="-6"/>
          <w:sz w:val="44"/>
          <w:szCs w:val="44"/>
          <w:lang w:val="en-US" w:eastAsia="zh-CN"/>
        </w:rPr>
        <w:t>歙县</w:t>
      </w:r>
      <w:r>
        <w:rPr>
          <w:rFonts w:hint="eastAsia" w:ascii="方正小标宋_GBK" w:hAnsi="方正小标宋_GBK" w:eastAsia="方正小标宋_GBK" w:cs="方正小标宋_GBK"/>
          <w:spacing w:val="-6"/>
          <w:sz w:val="44"/>
          <w:szCs w:val="44"/>
        </w:rPr>
        <w:t>生态环境分局突发环境事件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6"/>
          <w:sz w:val="44"/>
          <w:szCs w:val="44"/>
        </w:rPr>
        <w:t>应急预案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Times New Roman" w:hAnsi="Times New Roman" w:eastAsia="宋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微软雅黑" w:hAnsi="微软雅黑" w:eastAsia="微软雅黑" w:cs="微软雅黑"/>
          <w:sz w:val="32"/>
          <w:szCs w:val="32"/>
        </w:rPr>
      </w:pPr>
      <w:bookmarkStart w:id="0" w:name="_Toc28603"/>
      <w:bookmarkStart w:id="1" w:name="_Toc29027"/>
      <w:bookmarkStart w:id="2" w:name="_Toc22638"/>
      <w:bookmarkStart w:id="3" w:name="_Toc24251"/>
      <w:bookmarkStart w:id="4" w:name="_Toc340667140"/>
      <w:bookmarkStart w:id="5" w:name="_Toc344713115"/>
      <w:bookmarkStart w:id="6" w:name="_Toc21174_WPSOffice_Level1"/>
      <w:r>
        <w:rPr>
          <w:rFonts w:hint="eastAsia" w:ascii="微软雅黑" w:hAnsi="微软雅黑" w:eastAsia="微软雅黑" w:cs="微软雅黑"/>
          <w:sz w:val="32"/>
          <w:szCs w:val="32"/>
        </w:rPr>
        <w:t>1  总  则</w:t>
      </w:r>
      <w:bookmarkEnd w:id="0"/>
      <w:bookmarkEnd w:id="1"/>
      <w:bookmarkEnd w:id="2"/>
      <w:bookmarkEnd w:id="3"/>
      <w:bookmarkEnd w:id="4"/>
      <w:bookmarkEnd w:id="5"/>
      <w:bookmarkEnd w:id="6"/>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楷体" w:hAnsi="楷体" w:eastAsia="楷体" w:cs="楷体"/>
          <w:szCs w:val="32"/>
        </w:rPr>
      </w:pPr>
      <w:bookmarkStart w:id="7" w:name="_Toc23095"/>
      <w:bookmarkStart w:id="8" w:name="_Toc6215"/>
      <w:bookmarkStart w:id="9" w:name="_Toc340667141"/>
      <w:bookmarkStart w:id="10" w:name="_Toc344713116"/>
      <w:bookmarkStart w:id="11" w:name="_Toc18081"/>
      <w:bookmarkStart w:id="12" w:name="_Toc10272"/>
      <w:bookmarkStart w:id="13" w:name="_Toc9109_WPSOffice_Level2"/>
      <w:r>
        <w:rPr>
          <w:rFonts w:hint="eastAsia" w:ascii="楷体" w:hAnsi="楷体" w:eastAsia="楷体" w:cs="楷体"/>
          <w:b/>
          <w:bCs/>
          <w:sz w:val="32"/>
          <w:szCs w:val="32"/>
        </w:rPr>
        <w:t>1.1 编制目的</w:t>
      </w:r>
      <w:bookmarkEnd w:id="7"/>
      <w:bookmarkEnd w:id="8"/>
      <w:bookmarkEnd w:id="9"/>
      <w:bookmarkEnd w:id="10"/>
      <w:bookmarkEnd w:id="11"/>
      <w:bookmarkEnd w:id="12"/>
      <w:bookmarkEnd w:id="1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生态环境分局突发环境事件应对机制，科学有序高效应对突发环境事件，保障人民群众生命财产安全和环境安全。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楷体" w:hAnsi="楷体" w:eastAsia="楷体" w:cs="楷体"/>
          <w:b/>
          <w:bCs/>
          <w:sz w:val="32"/>
          <w:szCs w:val="32"/>
        </w:rPr>
      </w:pPr>
      <w:bookmarkStart w:id="14" w:name="_Toc31229"/>
      <w:bookmarkStart w:id="15" w:name="_Toc340667142"/>
      <w:bookmarkStart w:id="16" w:name="_Toc23895_WPSOffice_Level2"/>
      <w:bookmarkStart w:id="17" w:name="_Toc24620"/>
      <w:bookmarkStart w:id="18" w:name="_Toc1232"/>
      <w:bookmarkStart w:id="19" w:name="_Toc344713117"/>
      <w:bookmarkStart w:id="20" w:name="_Toc28892"/>
      <w:r>
        <w:rPr>
          <w:rFonts w:hint="eastAsia" w:ascii="楷体" w:hAnsi="楷体" w:eastAsia="楷体" w:cs="楷体"/>
          <w:b/>
          <w:bCs/>
          <w:sz w:val="32"/>
          <w:szCs w:val="32"/>
        </w:rPr>
        <w:t>1.2 编制依据</w:t>
      </w:r>
      <w:bookmarkEnd w:id="14"/>
      <w:bookmarkEnd w:id="15"/>
      <w:bookmarkEnd w:id="16"/>
      <w:bookmarkEnd w:id="17"/>
      <w:bookmarkEnd w:id="18"/>
      <w:bookmarkEnd w:id="19"/>
      <w:bookmarkEnd w:id="2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依据《国家突发环境事件应急预案》（国办函〔2014〕119号）、《安徽省突发环境事件应急预案》（皖政办秘〔2021〕6号）、《黄山市突发环境事件应急预案》、《</w:t>
      </w:r>
      <w:r>
        <w:rPr>
          <w:rFonts w:hint="eastAsia" w:ascii="仿宋_GB2312" w:hAnsi="仿宋_GB2312" w:eastAsia="仿宋_GB2312" w:cs="仿宋_GB2312"/>
          <w:sz w:val="32"/>
          <w:szCs w:val="32"/>
          <w:lang w:eastAsia="zh-CN"/>
        </w:rPr>
        <w:t>歙县</w:t>
      </w:r>
      <w:r>
        <w:rPr>
          <w:rFonts w:hint="eastAsia" w:ascii="仿宋_GB2312" w:hAnsi="仿宋_GB2312" w:eastAsia="仿宋_GB2312" w:cs="仿宋_GB2312"/>
          <w:sz w:val="32"/>
          <w:szCs w:val="32"/>
          <w:lang w:val="en-US" w:eastAsia="zh-CN"/>
        </w:rPr>
        <w:t>行政区域</w:t>
      </w:r>
      <w:r>
        <w:rPr>
          <w:rFonts w:hint="eastAsia" w:ascii="仿宋_GB2312" w:hAnsi="仿宋_GB2312" w:eastAsia="仿宋_GB2312" w:cs="仿宋_GB2312"/>
          <w:sz w:val="32"/>
          <w:szCs w:val="32"/>
        </w:rPr>
        <w:t>突发环境事件应急预案》等，结合</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生态环境分局实际情况制定本预案。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楷体" w:hAnsi="楷体" w:eastAsia="楷体" w:cs="楷体"/>
          <w:b/>
          <w:bCs/>
          <w:sz w:val="32"/>
          <w:szCs w:val="32"/>
        </w:rPr>
      </w:pPr>
      <w:bookmarkStart w:id="21" w:name="_Toc25697_WPSOffice_Level2"/>
      <w:bookmarkStart w:id="22" w:name="_Toc27565"/>
      <w:bookmarkStart w:id="23" w:name="_Toc30217"/>
      <w:bookmarkStart w:id="24" w:name="_Toc14402"/>
      <w:bookmarkStart w:id="25" w:name="_Toc8099"/>
      <w:r>
        <w:rPr>
          <w:rFonts w:hint="eastAsia" w:ascii="楷体" w:hAnsi="楷体" w:eastAsia="楷体" w:cs="楷体"/>
          <w:b/>
          <w:bCs/>
          <w:sz w:val="32"/>
          <w:szCs w:val="32"/>
        </w:rPr>
        <w:t>1.3 适用范围</w:t>
      </w:r>
      <w:bookmarkEnd w:id="21"/>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本预案适用于发生在我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境内或发生在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外但对我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有较大影响的突发环境事件应对工作。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放射源和射线装置生产、销售、运输和使用过程中造成的辐射事故、重污染天气的应对工作按照相应预案执行。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楷体" w:hAnsi="楷体" w:eastAsia="楷体" w:cs="楷体"/>
          <w:b/>
          <w:bCs/>
          <w:sz w:val="32"/>
          <w:szCs w:val="32"/>
        </w:rPr>
      </w:pPr>
      <w:bookmarkStart w:id="26" w:name="_Toc913"/>
      <w:bookmarkStart w:id="27" w:name="_Toc17922_WPSOffice_Level2"/>
      <w:bookmarkStart w:id="28" w:name="_Toc22065"/>
      <w:bookmarkStart w:id="29" w:name="_Toc340667145"/>
      <w:bookmarkStart w:id="30" w:name="_Toc2348"/>
      <w:bookmarkStart w:id="31" w:name="_Toc344713120"/>
      <w:bookmarkStart w:id="32" w:name="_Toc7167"/>
      <w:r>
        <w:rPr>
          <w:rFonts w:hint="eastAsia" w:ascii="楷体" w:hAnsi="楷体" w:eastAsia="楷体" w:cs="楷体"/>
          <w:b/>
          <w:bCs/>
          <w:sz w:val="32"/>
          <w:szCs w:val="32"/>
        </w:rPr>
        <w:t>1.4 工作原则</w:t>
      </w:r>
      <w:bookmarkEnd w:id="26"/>
      <w:bookmarkEnd w:id="27"/>
      <w:r>
        <w:rPr>
          <w:rFonts w:hint="eastAsia" w:ascii="楷体" w:hAnsi="楷体" w:eastAsia="楷体" w:cs="楷体"/>
          <w:b/>
          <w:bCs/>
          <w:sz w:val="32"/>
          <w:szCs w:val="32"/>
        </w:rPr>
        <w:t xml:space="preserve"> </w:t>
      </w:r>
    </w:p>
    <w:bookmarkEnd w:id="28"/>
    <w:bookmarkEnd w:id="29"/>
    <w:bookmarkEnd w:id="30"/>
    <w:bookmarkEnd w:id="31"/>
    <w:bookmarkEnd w:id="32"/>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生命至上、安全第一，统一领导、各司其职，分级负责、快速反应、科学处置。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楷体" w:hAnsi="楷体" w:eastAsia="楷体" w:cs="楷体"/>
          <w:b/>
          <w:bCs/>
          <w:sz w:val="32"/>
          <w:szCs w:val="32"/>
        </w:rPr>
      </w:pPr>
      <w:bookmarkStart w:id="33" w:name="_Toc26525"/>
      <w:bookmarkStart w:id="34" w:name="_Toc2598"/>
      <w:bookmarkStart w:id="35" w:name="_Toc16857_WPSOffice_Level2"/>
      <w:bookmarkStart w:id="36" w:name="_Toc8962"/>
      <w:bookmarkStart w:id="37" w:name="_Toc12966"/>
      <w:r>
        <w:rPr>
          <w:rFonts w:hint="eastAsia" w:ascii="楷体" w:hAnsi="楷体" w:eastAsia="楷体" w:cs="楷体"/>
          <w:b/>
          <w:bCs/>
          <w:sz w:val="32"/>
          <w:szCs w:val="32"/>
        </w:rPr>
        <w:t>1.5 事件分级</w:t>
      </w:r>
      <w:bookmarkEnd w:id="33"/>
      <w:bookmarkEnd w:id="34"/>
      <w:bookmarkEnd w:id="35"/>
      <w:bookmarkEnd w:id="36"/>
      <w:bookmarkEnd w:id="3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按照事件危害程度、影响范围等因素，突发环境事件分为特别重大、重大、较大和一般四级。具体见附件1。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bookmarkStart w:id="38" w:name="_Toc340667146"/>
      <w:bookmarkStart w:id="39" w:name="_Toc5376"/>
      <w:bookmarkStart w:id="40" w:name="_Toc3918"/>
      <w:bookmarkStart w:id="41" w:name="_Toc18200"/>
      <w:bookmarkStart w:id="42" w:name="_Toc344713121"/>
      <w:bookmarkStart w:id="43" w:name="_Toc7507_WPSOffice_Level1"/>
      <w:bookmarkStart w:id="44" w:name="_Toc10736"/>
      <w:r>
        <w:rPr>
          <w:rFonts w:hint="eastAsia" w:ascii="仿宋_GB2312" w:hAnsi="仿宋_GB2312" w:eastAsia="仿宋_GB2312" w:cs="仿宋_GB2312"/>
          <w:sz w:val="32"/>
          <w:szCs w:val="32"/>
          <w:lang w:val="en-US" w:eastAsia="zh-CN"/>
        </w:rPr>
        <w:t>2  组织指挥机构与职责</w:t>
      </w:r>
      <w:bookmarkEnd w:id="38"/>
      <w:bookmarkEnd w:id="39"/>
      <w:bookmarkEnd w:id="40"/>
      <w:bookmarkEnd w:id="41"/>
      <w:bookmarkEnd w:id="42"/>
      <w:bookmarkEnd w:id="43"/>
      <w:bookmarkEnd w:id="44"/>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楷体" w:hAnsi="楷体" w:eastAsia="楷体" w:cs="楷体"/>
          <w:b/>
          <w:bCs/>
          <w:sz w:val="32"/>
          <w:szCs w:val="32"/>
          <w:lang w:val="en-US" w:eastAsia="zh-CN"/>
        </w:rPr>
      </w:pPr>
      <w:bookmarkStart w:id="45" w:name="_Toc19029_WPSOffice_Level2"/>
      <w:bookmarkStart w:id="46" w:name="_Toc16688"/>
      <w:bookmarkStart w:id="47" w:name="_Toc9420"/>
      <w:r>
        <w:rPr>
          <w:rFonts w:hint="eastAsia" w:ascii="楷体" w:hAnsi="楷体" w:eastAsia="楷体" w:cs="楷体"/>
          <w:b/>
          <w:bCs/>
          <w:sz w:val="32"/>
          <w:szCs w:val="32"/>
          <w:lang w:val="en-US" w:eastAsia="zh-CN"/>
        </w:rPr>
        <w:t>2.1 应急指挥领导小组</w:t>
      </w:r>
      <w:bookmarkEnd w:id="45"/>
      <w:bookmarkEnd w:id="46"/>
      <w:bookmarkEnd w:id="4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县生态环境分局设立突发环境事件应急指挥领导小组（以下简称“分局应急领导小组”），组成如下：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组  长：县生态环境分局局长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副组长：县生态环境分局党组成员和副局长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eastAsia="zh-CN"/>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员：</w:t>
      </w:r>
      <w:r>
        <w:rPr>
          <w:rFonts w:hint="eastAsia" w:ascii="仿宋_GB2312" w:hAnsi="仿宋_GB2312" w:eastAsia="仿宋_GB2312" w:cs="仿宋_GB2312"/>
          <w:color w:val="auto"/>
          <w:sz w:val="32"/>
          <w:szCs w:val="32"/>
          <w:highlight w:val="none"/>
          <w:lang w:val="en-US" w:eastAsia="zh-CN"/>
        </w:rPr>
        <w:t>分局</w:t>
      </w:r>
      <w:r>
        <w:rPr>
          <w:rFonts w:hint="eastAsia" w:ascii="仿宋_GB2312" w:hAnsi="仿宋_GB2312" w:eastAsia="仿宋_GB2312" w:cs="仿宋_GB2312"/>
          <w:color w:val="auto"/>
          <w:sz w:val="32"/>
          <w:szCs w:val="32"/>
          <w:highlight w:val="none"/>
          <w:lang w:eastAsia="zh-CN"/>
        </w:rPr>
        <w:t>办公室</w:t>
      </w:r>
      <w:r>
        <w:rPr>
          <w:rFonts w:hint="eastAsia" w:ascii="仿宋_GB2312" w:hAnsi="仿宋_GB2312" w:eastAsia="仿宋_GB2312" w:cs="仿宋_GB2312"/>
          <w:color w:val="auto"/>
          <w:sz w:val="32"/>
          <w:szCs w:val="32"/>
          <w:highlight w:val="none"/>
          <w:lang w:val="en-US" w:eastAsia="zh-CN"/>
        </w:rPr>
        <w:t>、歙县生态环境保护综合行政执法大队、环评股、污染控制股、黄山市歙县生态环境执法监测站</w:t>
      </w:r>
      <w:r>
        <w:rPr>
          <w:rFonts w:hint="eastAsia" w:ascii="仿宋_GB2312" w:hAnsi="仿宋_GB2312" w:eastAsia="仿宋_GB2312" w:cs="仿宋_GB2312"/>
          <w:color w:val="auto"/>
          <w:sz w:val="32"/>
          <w:szCs w:val="32"/>
          <w:highlight w:val="none"/>
          <w:lang w:eastAsia="zh-CN"/>
        </w:rPr>
        <w:t>主要负责同志。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成员部门工作职责见附件</w:t>
      </w:r>
      <w:r>
        <w:rPr>
          <w:rFonts w:hint="eastAsia" w:ascii="仿宋_GB2312" w:hAnsi="仿宋_GB2312" w:eastAsia="仿宋_GB2312" w:cs="仿宋_GB2312"/>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局应急领导小组的主要职责为：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（1）指导、协调全县突发生态环境事件应对工作；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）承担县突发环境事件应急指挥中心（以下简称县应急指挥中心）日常工作，推进全县环境应急管理体系建设，督促落实环境应急准备工作；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）负责全县突发生态环境事件预防、监测预警体系建设；组织指导突发生态环境事件的应急监测，提出污染控制、消除处置建议；会同有关部门做好事件信息发布和调查处理等工作。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楷体" w:hAnsi="楷体" w:eastAsia="楷体" w:cs="楷体"/>
          <w:b/>
          <w:bCs/>
          <w:sz w:val="32"/>
          <w:szCs w:val="32"/>
          <w:lang w:val="en-US" w:eastAsia="zh-CN"/>
        </w:rPr>
      </w:pPr>
      <w:bookmarkStart w:id="48" w:name="_Toc26208"/>
      <w:bookmarkStart w:id="49" w:name="_Toc16304_WPSOffice_Level2"/>
      <w:bookmarkStart w:id="50" w:name="_Toc11905"/>
      <w:r>
        <w:rPr>
          <w:rFonts w:hint="eastAsia" w:ascii="楷体" w:hAnsi="楷体" w:eastAsia="楷体" w:cs="楷体"/>
          <w:b/>
          <w:bCs/>
          <w:sz w:val="32"/>
          <w:szCs w:val="32"/>
          <w:lang w:val="en-US" w:eastAsia="zh-CN"/>
        </w:rPr>
        <w:t>2.2 分局应急指挥领导小组办公室</w:t>
      </w:r>
      <w:bookmarkEnd w:id="48"/>
      <w:bookmarkEnd w:id="49"/>
      <w:bookmarkEnd w:id="5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分局应急指挥领导小组办公室设在县生态环境保护综合行政执法大队。负责分局应急指挥领导小组日常工作，指导协调全县生态环境应急管理工作，督促突发生态环境事件的应对工作，由县生态环境保护综合行政执</w:t>
      </w:r>
      <w:r>
        <w:rPr>
          <w:rFonts w:hint="eastAsia" w:ascii="仿宋_GB2312" w:hAnsi="仿宋_GB2312" w:eastAsia="仿宋_GB2312" w:cs="仿宋_GB2312"/>
          <w:sz w:val="32"/>
          <w:szCs w:val="32"/>
          <w:highlight w:val="none"/>
          <w:lang w:eastAsia="zh-CN"/>
        </w:rPr>
        <w:t>法大队主要负责同志任</w:t>
      </w:r>
      <w:r>
        <w:rPr>
          <w:rFonts w:hint="eastAsia" w:ascii="仿宋_GB2312" w:hAnsi="仿宋_GB2312" w:eastAsia="仿宋_GB2312" w:cs="仿宋_GB2312"/>
          <w:sz w:val="32"/>
          <w:szCs w:val="32"/>
          <w:lang w:eastAsia="zh-CN"/>
        </w:rPr>
        <w:t>分局应急指挥领导小组</w:t>
      </w:r>
      <w:r>
        <w:rPr>
          <w:rFonts w:hint="eastAsia" w:ascii="仿宋_GB2312" w:hAnsi="仿宋_GB2312" w:eastAsia="仿宋_GB2312" w:cs="仿宋_GB2312"/>
          <w:sz w:val="32"/>
          <w:szCs w:val="32"/>
          <w:highlight w:val="none"/>
          <w:lang w:eastAsia="zh-CN"/>
        </w:rPr>
        <w:t>办公室主任</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微软雅黑" w:hAnsi="微软雅黑" w:eastAsia="微软雅黑" w:cs="微软雅黑"/>
          <w:sz w:val="32"/>
          <w:szCs w:val="32"/>
          <w:lang w:eastAsia="zh-CN"/>
        </w:rPr>
      </w:pPr>
      <w:bookmarkStart w:id="51" w:name="_Toc20011"/>
      <w:bookmarkStart w:id="52" w:name="_Toc31335_WPSOffice_Level1"/>
      <w:bookmarkStart w:id="53" w:name="_Toc25719"/>
      <w:bookmarkStart w:id="54" w:name="_Toc9265"/>
      <w:bookmarkStart w:id="55" w:name="_Toc25459"/>
      <w:bookmarkStart w:id="56" w:name="_Toc340667148"/>
      <w:bookmarkStart w:id="57" w:name="_Toc344713123"/>
      <w:r>
        <w:rPr>
          <w:rFonts w:hint="eastAsia" w:ascii="微软雅黑" w:hAnsi="微软雅黑" w:eastAsia="微软雅黑" w:cs="微软雅黑"/>
          <w:sz w:val="32"/>
          <w:szCs w:val="32"/>
          <w:lang w:eastAsia="zh-CN"/>
        </w:rPr>
        <w:t>3  应急准备</w:t>
      </w:r>
      <w:bookmarkEnd w:id="51"/>
      <w:bookmarkEnd w:id="52"/>
      <w:bookmarkEnd w:id="53"/>
      <w:bookmarkEnd w:id="54"/>
      <w:bookmarkEnd w:id="55"/>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楷体" w:hAnsi="楷体" w:eastAsia="楷体" w:cs="楷体"/>
          <w:b/>
          <w:bCs/>
          <w:sz w:val="32"/>
          <w:szCs w:val="32"/>
          <w:lang w:val="en-US" w:eastAsia="zh-CN"/>
        </w:rPr>
      </w:pPr>
      <w:bookmarkStart w:id="58" w:name="_Toc2592_WPSOffice_Level2"/>
      <w:bookmarkStart w:id="59" w:name="_Toc22758"/>
      <w:bookmarkStart w:id="60" w:name="_Toc14623"/>
      <w:r>
        <w:rPr>
          <w:rFonts w:hint="eastAsia" w:ascii="楷体" w:hAnsi="楷体" w:eastAsia="楷体" w:cs="楷体"/>
          <w:b/>
          <w:bCs/>
          <w:sz w:val="32"/>
          <w:szCs w:val="32"/>
          <w:lang w:val="en-US" w:eastAsia="zh-CN"/>
        </w:rPr>
        <w:t>3.1 预案制定</w:t>
      </w:r>
      <w:bookmarkEnd w:id="58"/>
      <w:bookmarkEnd w:id="59"/>
      <w:bookmarkEnd w:id="6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县生态环境分局负责制定、完善本部门突发环境事件应急预案。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楷体" w:hAnsi="楷体" w:eastAsia="楷体" w:cs="楷体"/>
          <w:b/>
          <w:bCs/>
          <w:sz w:val="32"/>
          <w:szCs w:val="32"/>
          <w:lang w:val="en-US" w:eastAsia="zh-CN"/>
        </w:rPr>
      </w:pPr>
      <w:bookmarkStart w:id="61" w:name="_Toc10958_WPSOffice_Level2"/>
      <w:bookmarkStart w:id="62" w:name="_Toc19819"/>
      <w:bookmarkStart w:id="63" w:name="_Toc22904"/>
      <w:r>
        <w:rPr>
          <w:rFonts w:hint="eastAsia" w:ascii="楷体" w:hAnsi="楷体" w:eastAsia="楷体" w:cs="楷体"/>
          <w:b/>
          <w:bCs/>
          <w:sz w:val="32"/>
          <w:szCs w:val="32"/>
          <w:lang w:val="en-US" w:eastAsia="zh-CN"/>
        </w:rPr>
        <w:t>3.2 风险控制</w:t>
      </w:r>
      <w:bookmarkEnd w:id="61"/>
      <w:bookmarkEnd w:id="62"/>
      <w:bookmarkEnd w:id="6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分局相关股室、大队和监测站要结合部门职责和局防范化解生态环境风险分工，压实工作责任，把生态环境风险防范化解工作纳入常态化管理，系统构建全过程、多层次生态环境风险防范体系。应按照县人民政府的统一要求，开展歙县区域突发生态环境事件风险评估工作，分析评估可能发生的突发生态环境事件，提高区域生态环境风险防范能力；检查企事业单位生态环境风险防范、环境安全隐患排查治理情况，并就发现的问题督促整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楷体" w:hAnsi="楷体" w:eastAsia="楷体" w:cs="楷体"/>
          <w:b/>
          <w:bCs/>
          <w:sz w:val="32"/>
          <w:szCs w:val="32"/>
          <w:lang w:val="en-US" w:eastAsia="zh-CN"/>
        </w:rPr>
      </w:pPr>
      <w:bookmarkStart w:id="64" w:name="_Toc15426"/>
      <w:bookmarkStart w:id="65" w:name="_Toc27370_WPSOffice_Level2"/>
      <w:bookmarkStart w:id="66" w:name="_Toc31778"/>
      <w:r>
        <w:rPr>
          <w:rFonts w:hint="eastAsia" w:ascii="楷体" w:hAnsi="楷体" w:eastAsia="楷体" w:cs="楷体"/>
          <w:b/>
          <w:bCs/>
          <w:sz w:val="32"/>
          <w:szCs w:val="32"/>
          <w:lang w:val="en-US" w:eastAsia="zh-CN"/>
        </w:rPr>
        <w:t>3.3 应急队伍</w:t>
      </w:r>
      <w:bookmarkEnd w:id="64"/>
      <w:bookmarkEnd w:id="65"/>
      <w:bookmarkEnd w:id="6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强化生态环境应急管理人员配备，安排责任心强、业务能力强的人员承担环境应急工作，要不断推进生态环境应急救援能力建设，探索依托社会力量建立专业化环境应急救援队伍模式；定期开展培训和演练，提高突发生态环境事件快速响应及应急处置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县生态环境分局</w:t>
      </w:r>
      <w:r>
        <w:rPr>
          <w:rFonts w:hint="eastAsia" w:ascii="仿宋_GB2312" w:hAnsi="仿宋_GB2312" w:eastAsia="仿宋_GB2312" w:cs="仿宋_GB2312"/>
          <w:sz w:val="32"/>
          <w:szCs w:val="32"/>
          <w:lang w:val="en-US" w:eastAsia="zh-CN"/>
        </w:rPr>
        <w:t>成立</w:t>
      </w:r>
      <w:r>
        <w:rPr>
          <w:rFonts w:hint="eastAsia" w:ascii="仿宋_GB2312" w:hAnsi="仿宋_GB2312" w:eastAsia="仿宋_GB2312" w:cs="仿宋_GB2312"/>
          <w:color w:val="000000"/>
          <w:sz w:val="32"/>
          <w:szCs w:val="32"/>
          <w:highlight w:val="none"/>
          <w:lang w:val="en-US" w:eastAsia="zh-CN"/>
        </w:rPr>
        <w:t>县综合协调组、县新闻宣传组、县污染处置组、县应急监测组、县应急保障组、县调查评估组：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（1）办公室、县生态环境保护综合行政执法大队等加入县综合协调组和县新闻宣传组；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（2）污染控制股加入县污染处置组；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（3）黄山市歙县生态环境执法监测站加入县应急监测组；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（4）环评股加入县应急保障组；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（5）办公室、县生态环境保护综合行政执法大队、污染控制股等加入县调查评估组；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highlight w:val="none"/>
          <w:lang w:val="en-US" w:eastAsia="zh-CN"/>
        </w:rPr>
        <w:t>根据县指挥部的要求，分局应急领导小组指派本局相关部门参加医疗救治、社会维稳等工作组的相关工作。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楷体" w:hAnsi="楷体" w:eastAsia="楷体" w:cs="楷体"/>
          <w:b/>
          <w:bCs/>
          <w:sz w:val="32"/>
          <w:szCs w:val="32"/>
          <w:lang w:val="en-US" w:eastAsia="zh-CN"/>
        </w:rPr>
      </w:pPr>
      <w:bookmarkStart w:id="67" w:name="_Toc21010"/>
      <w:bookmarkStart w:id="68" w:name="_Toc16025"/>
      <w:bookmarkStart w:id="69" w:name="_Toc20243_WPSOffice_Level2"/>
      <w:r>
        <w:rPr>
          <w:rFonts w:hint="eastAsia" w:ascii="楷体" w:hAnsi="楷体" w:eastAsia="楷体" w:cs="楷体"/>
          <w:b/>
          <w:bCs/>
          <w:sz w:val="32"/>
          <w:szCs w:val="32"/>
          <w:lang w:val="en-US" w:eastAsia="zh-CN"/>
        </w:rPr>
        <w:t>3.4 物资装备</w:t>
      </w:r>
      <w:bookmarkEnd w:id="67"/>
      <w:bookmarkEnd w:id="68"/>
      <w:bookmarkEnd w:id="6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健全制度和规划，配备符合实际需求的应急监测仪器设备和装备；开展应急资源调查，建立和充实环境应急物资储备，建立物资储备信息库并实行动态管理，</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lang w:eastAsia="zh-CN"/>
        </w:rPr>
        <w:t>县生态环境分局设立实物储备</w:t>
      </w:r>
      <w:r>
        <w:rPr>
          <w:rFonts w:hint="eastAsia" w:ascii="仿宋_GB2312" w:hAnsi="仿宋_GB2312" w:eastAsia="仿宋_GB2312" w:cs="仿宋_GB2312"/>
          <w:sz w:val="32"/>
          <w:szCs w:val="32"/>
          <w:lang w:val="en-US" w:eastAsia="zh-CN"/>
        </w:rPr>
        <w:t>转运</w:t>
      </w:r>
      <w:r>
        <w:rPr>
          <w:rFonts w:hint="eastAsia" w:ascii="仿宋_GB2312" w:hAnsi="仿宋_GB2312" w:eastAsia="仿宋_GB2312" w:cs="仿宋_GB2312"/>
          <w:sz w:val="32"/>
          <w:szCs w:val="32"/>
          <w:lang w:eastAsia="zh-CN"/>
        </w:rPr>
        <w:t>库，</w:t>
      </w:r>
      <w:r>
        <w:rPr>
          <w:rFonts w:hint="eastAsia" w:ascii="仿宋_GB2312" w:hAnsi="仿宋_GB2312" w:eastAsia="仿宋_GB2312" w:cs="仿宋_GB2312"/>
          <w:sz w:val="32"/>
          <w:szCs w:val="32"/>
          <w:lang w:val="en-US" w:eastAsia="zh-CN"/>
        </w:rPr>
        <w:t>并调查统计辖区内可调配物资的企业名单，做到有物可用、有物够用的原则</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楷体" w:hAnsi="楷体" w:eastAsia="楷体" w:cs="楷体"/>
          <w:b/>
          <w:bCs/>
          <w:sz w:val="32"/>
          <w:szCs w:val="32"/>
          <w:lang w:val="en-US" w:eastAsia="zh-CN"/>
        </w:rPr>
      </w:pPr>
      <w:bookmarkStart w:id="70" w:name="_Toc28941"/>
      <w:bookmarkStart w:id="71" w:name="_Toc21580_WPSOffice_Level2"/>
      <w:bookmarkStart w:id="72" w:name="_Toc30989"/>
      <w:r>
        <w:rPr>
          <w:rFonts w:hint="eastAsia" w:ascii="楷体" w:hAnsi="楷体" w:eastAsia="楷体" w:cs="楷体"/>
          <w:b/>
          <w:bCs/>
          <w:sz w:val="32"/>
          <w:szCs w:val="32"/>
          <w:lang w:val="en-US" w:eastAsia="zh-CN"/>
        </w:rPr>
        <w:t>3.5 技术支持</w:t>
      </w:r>
      <w:bookmarkEnd w:id="70"/>
      <w:bookmarkEnd w:id="71"/>
      <w:bookmarkEnd w:id="7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县生态环境分局应建立应急专家库，充分发挥专家的技术支持作用，</w:t>
      </w:r>
      <w:r>
        <w:rPr>
          <w:rFonts w:hint="eastAsia" w:ascii="仿宋_GB2312" w:hAnsi="仿宋_GB2312" w:eastAsia="仿宋_GB2312" w:cs="仿宋_GB2312"/>
          <w:sz w:val="32"/>
          <w:szCs w:val="32"/>
          <w:lang w:val="en-US" w:eastAsia="zh-CN"/>
        </w:rPr>
        <w:t>必要时也可邀请市生态环境局同志、有关高校教师作为专家现场指导。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楷体" w:hAnsi="楷体" w:eastAsia="楷体" w:cs="楷体"/>
          <w:b/>
          <w:bCs/>
          <w:sz w:val="32"/>
          <w:szCs w:val="32"/>
          <w:lang w:val="en-US" w:eastAsia="zh-CN"/>
        </w:rPr>
      </w:pPr>
      <w:bookmarkStart w:id="73" w:name="_Toc31515"/>
      <w:bookmarkStart w:id="74" w:name="_Toc8711"/>
      <w:bookmarkStart w:id="75" w:name="_Toc4593_WPSOffice_Level2"/>
      <w:r>
        <w:rPr>
          <w:rFonts w:hint="eastAsia" w:ascii="楷体" w:hAnsi="楷体" w:eastAsia="楷体" w:cs="楷体"/>
          <w:b/>
          <w:bCs/>
          <w:sz w:val="32"/>
          <w:szCs w:val="32"/>
          <w:lang w:val="en-US" w:eastAsia="zh-CN"/>
        </w:rPr>
        <w:t>3.6 联动机制</w:t>
      </w:r>
      <w:bookmarkEnd w:id="73"/>
      <w:bookmarkEnd w:id="74"/>
      <w:bookmarkEnd w:id="7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根据区域或流域生态环境风险防范需要，加强与相邻地区生态环境应急管理部门的联动，健全风险防范、信息通报和应急联动机制；加强与其他部门、</w:t>
      </w: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lang w:eastAsia="zh-CN"/>
        </w:rPr>
        <w:t>的联动机制建设，协同高效处置各类突发生态环境事件。</w:t>
      </w:r>
      <w:r>
        <w:rPr>
          <w:rFonts w:hint="eastAsia" w:ascii="仿宋_GB2312" w:hAnsi="仿宋_GB2312" w:eastAsia="仿宋_GB2312" w:cs="仿宋_GB2312"/>
          <w:sz w:val="32"/>
          <w:szCs w:val="32"/>
          <w:lang w:val="en-US" w:eastAsia="zh-CN"/>
        </w:rPr>
        <w:t>部门之间联动机制如下：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①</w:t>
      </w:r>
      <w:r>
        <w:rPr>
          <w:rFonts w:hint="eastAsia" w:ascii="仿宋_GB2312" w:hAnsi="仿宋_GB2312" w:eastAsia="仿宋_GB2312" w:cs="仿宋_GB2312"/>
          <w:sz w:val="32"/>
          <w:szCs w:val="32"/>
          <w:lang w:eastAsia="zh-CN"/>
        </w:rPr>
        <w:t>负有应急救援职责的各有关成员单位，应当按照总体预案、有关专项预案的规定，在接到应急响应通知或较大以上或有可能上升为较大以上的突发事件的信息时，主动对接应急需求，服从专项指挥部办公室的指挥调度，迅速赶赴突发事件现场或有关应急救援岗位，在指挥部的统一指挥下开展救援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lang w:eastAsia="zh-CN"/>
        </w:rPr>
        <w:t>各专项预案规定的工作小组牵头部门，应当牵头组织协调有关成员单位，制定工作任务、细化职责分工，有序开展相关救援工作。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③</w:t>
      </w:r>
      <w:r>
        <w:rPr>
          <w:rFonts w:hint="eastAsia" w:ascii="仿宋_GB2312" w:hAnsi="仿宋_GB2312" w:eastAsia="仿宋_GB2312" w:cs="仿宋_GB2312"/>
          <w:sz w:val="32"/>
          <w:szCs w:val="32"/>
          <w:lang w:eastAsia="zh-CN"/>
        </w:rPr>
        <w:t>有关成员单位、工作小组，应当在指挥部的统一指挥下，调集救援人员和专业队伍，协同有序开展涉及的以下相关救援工作：现场警戒、交通管制、社会治安等安全稳定工作；应急通讯、运输通行、运力协调等应急保障工作；人员搜救、现场处置、排险除患、重要设施保护等抢险救援工作；现场人员救治、卫生防疫等医学救援工作；电、水、气、路等基础设施的抢修和恢复工作；人员安置、生活救助、抚恤善后等生活保障和救助工作，以及新闻宣传、社会动员、捐赠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微软雅黑" w:hAnsi="微软雅黑" w:eastAsia="微软雅黑" w:cs="微软雅黑"/>
          <w:sz w:val="32"/>
          <w:szCs w:val="32"/>
        </w:rPr>
      </w:pPr>
      <w:bookmarkStart w:id="76" w:name="_Toc16538"/>
      <w:bookmarkStart w:id="77" w:name="_Toc3040"/>
      <w:bookmarkStart w:id="78" w:name="_Toc7747"/>
      <w:bookmarkStart w:id="79" w:name="_Toc2501_WPSOffice_Level1"/>
      <w:bookmarkStart w:id="80" w:name="_Toc1991"/>
      <w:r>
        <w:rPr>
          <w:rFonts w:hint="eastAsia" w:ascii="微软雅黑" w:hAnsi="微软雅黑" w:eastAsia="微软雅黑" w:cs="微软雅黑"/>
          <w:sz w:val="32"/>
          <w:szCs w:val="32"/>
          <w:lang w:eastAsia="zh-CN"/>
        </w:rPr>
        <w:t>4</w:t>
      </w:r>
      <w:r>
        <w:rPr>
          <w:rFonts w:hint="eastAsia" w:ascii="微软雅黑" w:hAnsi="微软雅黑" w:eastAsia="微软雅黑" w:cs="微软雅黑"/>
          <w:sz w:val="32"/>
          <w:szCs w:val="32"/>
          <w:lang w:val="en-US" w:eastAsia="zh-CN"/>
        </w:rPr>
        <w:t xml:space="preserve">  </w:t>
      </w:r>
      <w:r>
        <w:rPr>
          <w:rFonts w:hint="eastAsia" w:ascii="微软雅黑" w:hAnsi="微软雅黑" w:eastAsia="微软雅黑" w:cs="微软雅黑"/>
          <w:sz w:val="32"/>
          <w:szCs w:val="32"/>
          <w:lang w:eastAsia="zh-CN"/>
        </w:rPr>
        <w:t>监测</w:t>
      </w:r>
      <w:r>
        <w:rPr>
          <w:rFonts w:hint="eastAsia" w:ascii="微软雅黑" w:hAnsi="微软雅黑" w:eastAsia="微软雅黑" w:cs="微软雅黑"/>
          <w:sz w:val="32"/>
          <w:szCs w:val="32"/>
        </w:rPr>
        <w:t>预警</w:t>
      </w:r>
      <w:bookmarkEnd w:id="76"/>
      <w:bookmarkEnd w:id="77"/>
      <w:bookmarkEnd w:id="78"/>
      <w:bookmarkEnd w:id="79"/>
      <w:bookmarkEnd w:id="80"/>
    </w:p>
    <w:bookmarkEnd w:id="56"/>
    <w:bookmarkEnd w:id="57"/>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楷体" w:hAnsi="楷体" w:eastAsia="楷体" w:cs="楷体"/>
          <w:b/>
          <w:bCs/>
          <w:sz w:val="32"/>
          <w:szCs w:val="32"/>
          <w:lang w:val="en-US" w:eastAsia="zh-CN"/>
        </w:rPr>
      </w:pPr>
      <w:bookmarkStart w:id="81" w:name="_Toc20746"/>
      <w:bookmarkStart w:id="82" w:name="_Toc1515_WPSOffice_Level2"/>
      <w:bookmarkStart w:id="83" w:name="_Toc17714"/>
      <w:r>
        <w:rPr>
          <w:rFonts w:hint="eastAsia" w:ascii="楷体" w:hAnsi="楷体" w:eastAsia="楷体" w:cs="楷体"/>
          <w:b/>
          <w:bCs/>
          <w:sz w:val="32"/>
          <w:szCs w:val="32"/>
          <w:lang w:val="en-US" w:eastAsia="zh-CN"/>
        </w:rPr>
        <w:t>4.1 监测</w:t>
      </w:r>
      <w:bookmarkEnd w:id="81"/>
      <w:bookmarkEnd w:id="82"/>
      <w:bookmarkEnd w:id="8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构建自动监测、手工监测相结合的监测网络，提高监测技术水平；通过日常监管、互联网信息、环境污染举报等途径，加强突发生态环境事件苗头信息收集；强化部门联动，及时通报可能导致突发生态环境事件的信息；督促企事业单位落实主体责任，及时报告可能发生的突发环境事件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楷体" w:hAnsi="楷体" w:eastAsia="楷体" w:cs="楷体"/>
          <w:b/>
          <w:bCs/>
          <w:sz w:val="32"/>
          <w:szCs w:val="32"/>
          <w:lang w:val="en-US" w:eastAsia="zh-CN"/>
        </w:rPr>
      </w:pPr>
      <w:bookmarkStart w:id="84" w:name="_Toc17605_WPSOffice_Level2"/>
      <w:bookmarkStart w:id="85" w:name="_Toc15443"/>
      <w:bookmarkStart w:id="86" w:name="_Toc20192"/>
      <w:r>
        <w:rPr>
          <w:rFonts w:hint="eastAsia" w:ascii="楷体" w:hAnsi="楷体" w:eastAsia="楷体" w:cs="楷体"/>
          <w:b/>
          <w:bCs/>
          <w:sz w:val="32"/>
          <w:szCs w:val="32"/>
          <w:lang w:val="en-US" w:eastAsia="zh-CN"/>
        </w:rPr>
        <w:t>4.2预警</w:t>
      </w:r>
      <w:bookmarkEnd w:id="84"/>
      <w:bookmarkEnd w:id="85"/>
      <w:bookmarkEnd w:id="86"/>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仿宋_GB2312" w:eastAsia="仿宋_GB2312" w:cs="仿宋_GB2312"/>
          <w:b/>
          <w:bCs/>
          <w:sz w:val="32"/>
          <w:szCs w:val="32"/>
          <w:lang w:val="en-US" w:eastAsia="zh-CN"/>
        </w:rPr>
      </w:pPr>
      <w:bookmarkStart w:id="87" w:name="_Toc13703_WPSOffice_Level3"/>
      <w:bookmarkStart w:id="88" w:name="_Toc7693"/>
      <w:bookmarkStart w:id="89" w:name="_Toc5064_WPSOffice_Level3"/>
      <w:r>
        <w:rPr>
          <w:rFonts w:hint="eastAsia" w:ascii="仿宋_GB2312" w:hAnsi="仿宋_GB2312" w:eastAsia="仿宋_GB2312" w:cs="仿宋_GB2312"/>
          <w:b/>
          <w:bCs/>
          <w:sz w:val="32"/>
          <w:szCs w:val="32"/>
          <w:lang w:val="en-US" w:eastAsia="zh-CN"/>
        </w:rPr>
        <w:t>4.2.1 预警分级</w:t>
      </w:r>
      <w:bookmarkEnd w:id="87"/>
      <w:bookmarkEnd w:id="88"/>
      <w:bookmarkEnd w:id="8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可以预警的突发生态环境事件，按照事件发生的可能性大小、紧急程度和可能造成的危害程度，将预警级别由高到低分为一级、二级、三级和四级，分别用红色、橙色、黄色和蓝色标示。突发环境事件预警分级标准见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仿宋_GB2312" w:eastAsia="仿宋_GB2312" w:cs="仿宋_GB2312"/>
          <w:b/>
          <w:bCs/>
          <w:sz w:val="32"/>
          <w:szCs w:val="32"/>
          <w:lang w:val="en-US" w:eastAsia="zh-CN"/>
        </w:rPr>
      </w:pPr>
      <w:bookmarkStart w:id="90" w:name="_Toc260_WPSOffice_Level3"/>
      <w:bookmarkStart w:id="91" w:name="_Toc21436_WPSOffice_Level3"/>
      <w:bookmarkStart w:id="92" w:name="_Toc13966"/>
      <w:r>
        <w:rPr>
          <w:rFonts w:hint="eastAsia" w:ascii="仿宋_GB2312" w:hAnsi="仿宋_GB2312" w:eastAsia="仿宋_GB2312" w:cs="仿宋_GB2312"/>
          <w:b/>
          <w:bCs/>
          <w:sz w:val="32"/>
          <w:szCs w:val="32"/>
          <w:lang w:val="en-US" w:eastAsia="zh-CN"/>
        </w:rPr>
        <w:t>4.2.2</w:t>
      </w:r>
      <w:bookmarkEnd w:id="90"/>
      <w:r>
        <w:rPr>
          <w:rFonts w:hint="eastAsia" w:ascii="仿宋_GB2312" w:hAnsi="仿宋_GB2312" w:eastAsia="仿宋_GB2312" w:cs="仿宋_GB2312"/>
          <w:b/>
          <w:bCs/>
          <w:sz w:val="32"/>
          <w:szCs w:val="32"/>
          <w:lang w:val="en-US" w:eastAsia="zh-CN"/>
        </w:rPr>
        <w:t xml:space="preserve"> 预警发布</w:t>
      </w:r>
      <w:bookmarkEnd w:id="91"/>
      <w:bookmarkEnd w:id="9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bookmarkStart w:id="93" w:name="_Toc355342541"/>
      <w:r>
        <w:rPr>
          <w:rFonts w:hint="eastAsia" w:ascii="仿宋_GB2312" w:hAnsi="仿宋_GB2312" w:eastAsia="仿宋_GB2312" w:cs="仿宋_GB2312"/>
          <w:sz w:val="32"/>
          <w:szCs w:val="32"/>
          <w:lang w:eastAsia="zh-CN"/>
        </w:rPr>
        <w:t>当可能发生突发生态环境事件时，应当及时向县级人民政府提出发布预警信息的建议。</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预警原则上由县级人民政府（专项指挥机构）或其授权的县生态环境分局发布，及时向上一级政府或生态环境部门报告，必要时可越级上报，并向可能受到危害的毗邻或相关地区政府通报。</w:t>
      </w:r>
    </w:p>
    <w:bookmarkEnd w:id="93"/>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接到三级（黄色）及以上预警信息报告后，经县生态环境分局主要负责同志批准，向县政府提出预警发布建议，并提出向可能受到危害的毗邻地区的政府或部门通报的建议。经批准后的预警信息可通过</w:t>
      </w:r>
      <w:r>
        <w:rPr>
          <w:rFonts w:hint="eastAsia" w:ascii="仿宋_GB2312" w:hAnsi="仿宋_GB2312" w:eastAsia="仿宋_GB2312" w:cs="仿宋_GB2312"/>
          <w:color w:val="auto"/>
          <w:sz w:val="32"/>
          <w:szCs w:val="32"/>
          <w:highlight w:val="none"/>
          <w:lang w:val="en-US" w:eastAsia="zh-CN"/>
        </w:rPr>
        <w:t>县政府门户网站</w:t>
      </w:r>
      <w:r>
        <w:rPr>
          <w:rFonts w:hint="eastAsia" w:ascii="仿宋_GB2312" w:hAnsi="仿宋_GB2312" w:eastAsia="仿宋_GB2312" w:cs="仿宋_GB2312"/>
          <w:color w:val="auto"/>
          <w:sz w:val="32"/>
          <w:szCs w:val="32"/>
          <w:highlight w:val="none"/>
          <w:lang w:eastAsia="zh-CN"/>
        </w:rPr>
        <w:t>歙县生态环境分局</w:t>
      </w:r>
      <w:r>
        <w:rPr>
          <w:rFonts w:hint="eastAsia" w:ascii="仿宋_GB2312" w:hAnsi="仿宋_GB2312" w:eastAsia="仿宋_GB2312" w:cs="仿宋_GB2312"/>
          <w:color w:val="auto"/>
          <w:sz w:val="32"/>
          <w:szCs w:val="32"/>
          <w:highlight w:val="none"/>
          <w:lang w:val="en-US" w:eastAsia="zh-CN"/>
        </w:rPr>
        <w:t>板块</w:t>
      </w:r>
      <w:r>
        <w:rPr>
          <w:rFonts w:hint="eastAsia" w:ascii="仿宋_GB2312" w:hAnsi="仿宋_GB2312" w:eastAsia="仿宋_GB2312" w:cs="仿宋_GB2312"/>
          <w:color w:val="auto"/>
          <w:sz w:val="32"/>
          <w:szCs w:val="32"/>
          <w:highlight w:val="none"/>
          <w:lang w:eastAsia="zh-CN"/>
        </w:rPr>
        <w:t>发布。其中一级（红色）、二级（橙色）预警信息还应及时报告生态环境省厅，并向县人民政府提出上报市人民政府预警信息建议。（预警发布（调整、解除）审批表见附件</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仿宋_GB2312" w:eastAsia="仿宋_GB2312" w:cs="仿宋_GB2312"/>
          <w:b/>
          <w:bCs/>
          <w:sz w:val="32"/>
          <w:szCs w:val="32"/>
          <w:lang w:val="en-US" w:eastAsia="zh-CN"/>
        </w:rPr>
      </w:pPr>
      <w:bookmarkStart w:id="94" w:name="_Toc11202_WPSOffice_Level3"/>
      <w:bookmarkStart w:id="95" w:name="_Toc24018_WPSOffice_Level3"/>
      <w:bookmarkStart w:id="96" w:name="_Toc15383"/>
      <w:r>
        <w:rPr>
          <w:rFonts w:hint="eastAsia" w:ascii="仿宋_GB2312" w:hAnsi="仿宋_GB2312" w:eastAsia="仿宋_GB2312" w:cs="仿宋_GB2312"/>
          <w:b/>
          <w:bCs/>
          <w:sz w:val="32"/>
          <w:szCs w:val="32"/>
          <w:lang w:val="en-US" w:eastAsia="zh-CN"/>
        </w:rPr>
        <w:t>4.2.3 预警级别的调整和预警解</w:t>
      </w:r>
      <w:bookmarkEnd w:id="94"/>
      <w:r>
        <w:rPr>
          <w:rFonts w:hint="eastAsia" w:ascii="仿宋_GB2312" w:hAnsi="仿宋_GB2312" w:eastAsia="仿宋_GB2312" w:cs="仿宋_GB2312"/>
          <w:b/>
          <w:bCs/>
          <w:sz w:val="32"/>
          <w:szCs w:val="32"/>
          <w:lang w:val="en-US" w:eastAsia="zh-CN"/>
        </w:rPr>
        <w:t>除</w:t>
      </w:r>
      <w:bookmarkEnd w:id="95"/>
      <w:bookmarkEnd w:id="9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根据事件事态发展，做好事件预警的调整、解除建议工作；报经县人民政府同意后，按照“谁发布、谁解除”的原则，由发布单位宣布解除预警。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微软雅黑" w:hAnsi="微软雅黑" w:eastAsia="微软雅黑" w:cs="微软雅黑"/>
          <w:sz w:val="32"/>
          <w:szCs w:val="32"/>
          <w:lang w:eastAsia="zh-CN"/>
        </w:rPr>
      </w:pPr>
      <w:bookmarkStart w:id="97" w:name="_Toc566"/>
      <w:bookmarkStart w:id="98" w:name="_Toc12012_WPSOffice_Level1"/>
      <w:r>
        <w:rPr>
          <w:rFonts w:hint="eastAsia" w:ascii="微软雅黑" w:hAnsi="微软雅黑" w:eastAsia="微软雅黑" w:cs="微软雅黑"/>
          <w:sz w:val="32"/>
          <w:szCs w:val="32"/>
          <w:lang w:eastAsia="zh-CN"/>
        </w:rPr>
        <w:t>5</w:t>
      </w:r>
      <w:r>
        <w:rPr>
          <w:rFonts w:hint="eastAsia" w:ascii="微软雅黑" w:hAnsi="微软雅黑" w:eastAsia="微软雅黑" w:cs="微软雅黑"/>
          <w:sz w:val="32"/>
          <w:szCs w:val="32"/>
          <w:lang w:val="en-US" w:eastAsia="zh-CN"/>
        </w:rPr>
        <w:t xml:space="preserve">  </w:t>
      </w:r>
      <w:r>
        <w:rPr>
          <w:rFonts w:hint="eastAsia" w:ascii="微软雅黑" w:hAnsi="微软雅黑" w:eastAsia="微软雅黑" w:cs="微软雅黑"/>
          <w:sz w:val="32"/>
          <w:szCs w:val="32"/>
          <w:lang w:eastAsia="zh-CN"/>
        </w:rPr>
        <w:t>信息报告</w:t>
      </w:r>
      <w:bookmarkEnd w:id="97"/>
      <w:bookmarkEnd w:id="98"/>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楷体" w:hAnsi="楷体" w:eastAsia="楷体" w:cs="楷体"/>
          <w:b/>
          <w:bCs/>
          <w:sz w:val="32"/>
          <w:szCs w:val="32"/>
          <w:lang w:val="en-US" w:eastAsia="zh-CN"/>
        </w:rPr>
      </w:pPr>
      <w:bookmarkStart w:id="99" w:name="_Toc29825"/>
      <w:bookmarkStart w:id="100" w:name="_Toc17918_WPSOffice_Level2"/>
      <w:bookmarkStart w:id="101" w:name="_Toc629"/>
      <w:r>
        <w:rPr>
          <w:rFonts w:hint="eastAsia" w:ascii="楷体" w:hAnsi="楷体" w:eastAsia="楷体" w:cs="楷体"/>
          <w:b/>
          <w:bCs/>
          <w:sz w:val="32"/>
          <w:szCs w:val="32"/>
          <w:lang w:val="en-US" w:eastAsia="zh-CN"/>
        </w:rPr>
        <w:t>5.1 报告流程</w:t>
      </w:r>
      <w:bookmarkEnd w:id="99"/>
      <w:bookmarkEnd w:id="100"/>
      <w:bookmarkEnd w:id="10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县生态环境分局在获知突发环境事件信息后，要立即进行核实、分析研判，对突发环境事件的性质和类别作出初步认定，并依照《</w:t>
      </w:r>
      <w:r>
        <w:rPr>
          <w:rFonts w:hint="eastAsia" w:ascii="仿宋_GB2312" w:hAnsi="仿宋_GB2312" w:eastAsia="仿宋_GB2312" w:cs="仿宋_GB2312"/>
          <w:sz w:val="32"/>
          <w:szCs w:val="32"/>
          <w:highlight w:val="none"/>
          <w:lang w:val="en-US" w:eastAsia="zh-CN"/>
        </w:rPr>
        <w:t>歙县行政区域突发环境事件</w:t>
      </w:r>
      <w:r>
        <w:rPr>
          <w:rFonts w:hint="eastAsia" w:ascii="仿宋_GB2312" w:hAnsi="仿宋_GB2312" w:eastAsia="仿宋_GB2312" w:cs="仿宋_GB2312"/>
          <w:sz w:val="32"/>
          <w:szCs w:val="32"/>
          <w:lang w:val="en-US" w:eastAsia="zh-CN"/>
        </w:rPr>
        <w:t>应急预案》有关规定，上报事件信息。</w:t>
      </w:r>
    </w:p>
    <w:p>
      <w:pPr>
        <w:pStyle w:val="2"/>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歙县生态环境保护综合行政执法大队接到突发</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lang w:val="en-US" w:eastAsia="zh-CN"/>
        </w:rPr>
        <w:t>环境事件信息报告后，对地方初判为较大及以上突发</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lang w:val="en-US" w:eastAsia="zh-CN"/>
        </w:rPr>
        <w:t>环境事件的，立即调度核实，分析研判，并向歙县生态环境分局领导进行汇报，经局主要负责同志批准后，1小时内报告县政府和市生态环境局，特别重大突发环境事件发生后或特殊情况下，经分局主要负责同志批准后，</w:t>
      </w:r>
      <w:r>
        <w:rPr>
          <w:rFonts w:hint="eastAsia" w:ascii="仿宋_GB2312" w:hAnsi="仿宋_GB2312" w:eastAsia="仿宋_GB2312" w:cs="仿宋_GB2312"/>
          <w:sz w:val="32"/>
          <w:szCs w:val="32"/>
          <w:highlight w:val="none"/>
          <w:lang w:val="en-US" w:eastAsia="zh-CN"/>
        </w:rPr>
        <w:t>可直接向省生态环境厅报告，并同时报告黄山市生态环境局</w:t>
      </w:r>
      <w:r>
        <w:rPr>
          <w:rFonts w:hint="eastAsia" w:ascii="仿宋_GB2312" w:hAnsi="仿宋_GB2312" w:eastAsia="仿宋_GB2312" w:cs="仿宋_GB2312"/>
          <w:sz w:val="32"/>
          <w:szCs w:val="32"/>
          <w:lang w:val="en-US" w:eastAsia="zh-CN"/>
        </w:rPr>
        <w:t>；对地方初判为一般突发</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lang w:val="en-US" w:eastAsia="zh-CN"/>
        </w:rPr>
        <w:t>环境事件的，立即调度核实，分析研判，并向局主要领导进行汇报，经局主要负责同志批准</w:t>
      </w:r>
      <w:r>
        <w:rPr>
          <w:rFonts w:hint="eastAsia" w:ascii="仿宋_GB2312" w:hAnsi="仿宋_GB2312" w:eastAsia="仿宋_GB2312" w:cs="仿宋_GB2312"/>
          <w:sz w:val="32"/>
          <w:szCs w:val="32"/>
          <w:highlight w:val="none"/>
          <w:lang w:val="en-US" w:eastAsia="zh-CN"/>
        </w:rPr>
        <w:t>后</w:t>
      </w:r>
      <w:r>
        <w:rPr>
          <w:rFonts w:hint="eastAsia" w:ascii="仿宋_GB2312" w:hAnsi="仿宋_GB2312" w:eastAsia="仿宋_GB2312" w:cs="仿宋_GB2312"/>
          <w:sz w:val="32"/>
          <w:szCs w:val="32"/>
          <w:lang w:val="en-US" w:eastAsia="zh-CN"/>
        </w:rPr>
        <w:t>，4小时内向县人民政府和市生态环</w:t>
      </w:r>
      <w:r>
        <w:rPr>
          <w:rFonts w:hint="eastAsia" w:ascii="仿宋_GB2312" w:hAnsi="仿宋_GB2312" w:eastAsia="仿宋_GB2312" w:cs="仿宋_GB2312"/>
          <w:kern w:val="2"/>
          <w:sz w:val="32"/>
          <w:szCs w:val="32"/>
          <w:lang w:val="en-US" w:eastAsia="zh-CN" w:bidi="ar-SA"/>
        </w:rPr>
        <w:t>境局报告</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突发</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lang w:val="en-US" w:eastAsia="zh-CN"/>
        </w:rPr>
        <w:t>环境事件处置过程中事件级别发生变化的，按照变化后的级别及时报告信息。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仿宋_GB2312" w:hAnsi="仿宋_GB2312" w:eastAsia="仿宋_GB2312" w:cs="仿宋_GB2312"/>
          <w:b/>
          <w:bCs/>
          <w:sz w:val="32"/>
          <w:szCs w:val="32"/>
          <w:lang w:val="en-US" w:eastAsia="zh-CN"/>
        </w:rPr>
      </w:pPr>
      <w:bookmarkStart w:id="102" w:name="_Toc8663"/>
      <w:bookmarkStart w:id="103" w:name="_Toc6238_WPSOffice_Level2"/>
      <w:bookmarkStart w:id="104" w:name="_Toc16487"/>
      <w:r>
        <w:rPr>
          <w:rFonts w:hint="eastAsia" w:ascii="仿宋_GB2312" w:hAnsi="仿宋_GB2312" w:eastAsia="仿宋_GB2312" w:cs="仿宋_GB2312"/>
          <w:b/>
          <w:bCs/>
          <w:sz w:val="32"/>
          <w:szCs w:val="32"/>
          <w:lang w:val="en-US" w:eastAsia="zh-CN"/>
        </w:rPr>
        <w:t>5.2 报告内容</w:t>
      </w:r>
      <w:bookmarkEnd w:id="102"/>
      <w:bookmarkEnd w:id="103"/>
      <w:bookmarkEnd w:id="10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突发</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lang w:val="en-US" w:eastAsia="zh-CN"/>
        </w:rPr>
        <w:t>环境事件报告分为初报、续报和处理结果报告，报告原则上采用书面报告形式，情况紧急的，可先通过电话口头报告，并尽快补充书面报告。报告中要包含事件处置的研判与是否启动应急响应的建议。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初报在获知突发</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lang w:val="en-US" w:eastAsia="zh-CN"/>
        </w:rPr>
        <w:t>环境事件后首次上报；续报在查清有关基本情况、事件发展情况后随时上报；处理结果报告在突发</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lang w:val="en-US" w:eastAsia="zh-CN"/>
        </w:rPr>
        <w:t>环境事件处理完毕后上报。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初报应当报告突发</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lang w:val="en-US" w:eastAsia="zh-CN"/>
        </w:rPr>
        <w:t>环境事件的发生时间、地点、信息来源、事件起因和性质、基本过程、主要污染物和数量、监测数据、人员受害情况、饮用水水源地等环境敏感点受影响情况、事件发展趋势、处置情况、拟采取的措施以及下一步工作建议等初步情况，并提供可能受到突发</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lang w:val="en-US" w:eastAsia="zh-CN"/>
        </w:rPr>
        <w:t>环境事件影响的环境敏感点的分布示意图。有条件的同时报送视频、图片等信息。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续报应当在初报的基础上，完善初报中未提供信息，按上级生态环境部门规定的时限报告有关处置进展情况。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处理结果报告应包括事件概述、处理突发</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lang w:val="en-US" w:eastAsia="zh-CN"/>
        </w:rPr>
        <w:t>环境事件的措施、过程和结果，突发环境事件潜在或者间接危害以及损失、社会影响、处理后的遗留问题、责任追究等详细情况。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楷体" w:hAnsi="楷体" w:eastAsia="楷体" w:cs="楷体"/>
          <w:b/>
          <w:bCs/>
          <w:sz w:val="32"/>
          <w:szCs w:val="32"/>
          <w:lang w:val="en-US" w:eastAsia="zh-CN"/>
        </w:rPr>
      </w:pPr>
      <w:bookmarkStart w:id="105" w:name="_Toc30315_WPSOffice_Level2"/>
      <w:bookmarkStart w:id="106" w:name="_Toc23893"/>
      <w:bookmarkStart w:id="107" w:name="_Toc12367"/>
      <w:r>
        <w:rPr>
          <w:rFonts w:hint="eastAsia" w:ascii="楷体" w:hAnsi="楷体" w:eastAsia="楷体" w:cs="楷体"/>
          <w:b/>
          <w:bCs/>
          <w:sz w:val="32"/>
          <w:szCs w:val="32"/>
          <w:lang w:val="en-US" w:eastAsia="zh-CN"/>
        </w:rPr>
        <w:t>5.3 信息通报</w:t>
      </w:r>
      <w:bookmarkEnd w:id="105"/>
      <w:bookmarkEnd w:id="106"/>
      <w:bookmarkEnd w:id="10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突发</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lang w:val="en-US" w:eastAsia="zh-CN"/>
        </w:rPr>
        <w:t>环境事件影响或者可能影响相邻行政区域的，县生态环境分局应当及时通报相邻行政区域同级生态环境部门，同时报上级生态环境部门。并向县级人民政府提出向相邻行政区域同级人民政府通报的建议。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突发</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lang w:val="en-US" w:eastAsia="zh-CN"/>
        </w:rPr>
        <w:t>环境事件已经或者可能涉及邻县（区）的，县生态环境分局要及时向邻县（区）县级生态环境部门通报情况，视情向县人民政府提出向邻县（区）人民政府通报的建议。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微软雅黑" w:hAnsi="微软雅黑" w:eastAsia="微软雅黑" w:cs="微软雅黑"/>
          <w:sz w:val="32"/>
          <w:szCs w:val="32"/>
          <w:lang w:eastAsia="zh-CN"/>
        </w:rPr>
      </w:pPr>
      <w:bookmarkStart w:id="108" w:name="_Toc340667158"/>
      <w:bookmarkStart w:id="109" w:name="_Toc344713133"/>
      <w:bookmarkStart w:id="110" w:name="_Toc2523"/>
      <w:bookmarkStart w:id="111" w:name="_Toc18667_WPSOffice_Level1"/>
      <w:r>
        <w:rPr>
          <w:rFonts w:hint="eastAsia" w:ascii="微软雅黑" w:hAnsi="微软雅黑" w:eastAsia="微软雅黑" w:cs="微软雅黑"/>
          <w:sz w:val="32"/>
          <w:szCs w:val="32"/>
          <w:lang w:eastAsia="zh-CN"/>
        </w:rPr>
        <w:t>6</w:t>
      </w:r>
      <w:r>
        <w:rPr>
          <w:rFonts w:hint="eastAsia" w:ascii="微软雅黑" w:hAnsi="微软雅黑" w:eastAsia="微软雅黑" w:cs="微软雅黑"/>
          <w:sz w:val="32"/>
          <w:szCs w:val="32"/>
          <w:lang w:val="en-US" w:eastAsia="zh-CN"/>
        </w:rPr>
        <w:t xml:space="preserve">  </w:t>
      </w:r>
      <w:r>
        <w:rPr>
          <w:rFonts w:hint="eastAsia" w:ascii="微软雅黑" w:hAnsi="微软雅黑" w:eastAsia="微软雅黑" w:cs="微软雅黑"/>
          <w:sz w:val="32"/>
          <w:szCs w:val="32"/>
          <w:lang w:eastAsia="zh-CN"/>
        </w:rPr>
        <w:t>应急响应</w:t>
      </w:r>
      <w:bookmarkEnd w:id="108"/>
      <w:bookmarkEnd w:id="109"/>
      <w:bookmarkEnd w:id="110"/>
      <w:bookmarkEnd w:id="111"/>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楷体" w:hAnsi="楷体" w:eastAsia="楷体" w:cs="楷体"/>
          <w:b/>
          <w:bCs/>
          <w:sz w:val="32"/>
          <w:szCs w:val="32"/>
          <w:lang w:val="en-US" w:eastAsia="zh-CN"/>
        </w:rPr>
      </w:pPr>
      <w:bookmarkStart w:id="112" w:name="_Toc7887"/>
      <w:bookmarkStart w:id="113" w:name="_Toc340667159"/>
      <w:bookmarkStart w:id="114" w:name="_Toc344713134"/>
      <w:bookmarkStart w:id="115" w:name="_Toc1763_WPSOffice_Level2"/>
      <w:bookmarkStart w:id="116" w:name="_Toc10950"/>
      <w:r>
        <w:rPr>
          <w:rFonts w:hint="eastAsia" w:ascii="楷体" w:hAnsi="楷体" w:eastAsia="楷体" w:cs="楷体"/>
          <w:b/>
          <w:bCs/>
          <w:sz w:val="32"/>
          <w:szCs w:val="32"/>
          <w:lang w:val="en-US" w:eastAsia="zh-CN"/>
        </w:rPr>
        <w:t>6.1</w:t>
      </w:r>
      <w:bookmarkEnd w:id="112"/>
      <w:bookmarkEnd w:id="113"/>
      <w:bookmarkEnd w:id="114"/>
      <w:bookmarkStart w:id="117" w:name="_Toc26372"/>
      <w:r>
        <w:rPr>
          <w:rFonts w:hint="eastAsia" w:ascii="楷体" w:hAnsi="楷体" w:eastAsia="楷体" w:cs="楷体"/>
          <w:b/>
          <w:bCs/>
          <w:sz w:val="32"/>
          <w:szCs w:val="32"/>
          <w:lang w:val="en-US" w:eastAsia="zh-CN"/>
        </w:rPr>
        <w:t xml:space="preserve"> 响应分级</w:t>
      </w:r>
      <w:bookmarkEnd w:id="115"/>
      <w:bookmarkEnd w:id="116"/>
      <w:bookmarkEnd w:id="11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突发</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lang w:val="en-US" w:eastAsia="zh-CN"/>
        </w:rPr>
        <w:t>环境事件应对遵循分级负责、属地为主的原则。县人民政府对本辖区内发生的各类突发</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lang w:val="en-US" w:eastAsia="zh-CN"/>
        </w:rPr>
        <w:t>环境事件做好先期处置工作。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一般突发</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lang w:val="en-US" w:eastAsia="zh-CN"/>
        </w:rPr>
        <w:t>环境事件由县生态环境分局组织，其中，涉及面广、敏感复杂或处置不当可能造成严重后果的一般突发</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lang w:val="en-US" w:eastAsia="zh-CN"/>
        </w:rPr>
        <w:t>环境事件应当报请县人民政府指导应对。</w:t>
      </w:r>
      <w:r>
        <w:rPr>
          <w:rFonts w:hint="eastAsia" w:ascii="仿宋_GB2312" w:hAnsi="仿宋_GB2312" w:eastAsia="仿宋_GB2312" w:cs="仿宋_GB2312"/>
          <w:sz w:val="32"/>
          <w:szCs w:val="32"/>
          <w:highlight w:val="none"/>
          <w:lang w:val="en-US" w:eastAsia="zh-CN"/>
        </w:rPr>
        <w:t>特别重大、重大突发</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highlight w:val="none"/>
          <w:lang w:val="en-US" w:eastAsia="zh-CN"/>
        </w:rPr>
        <w:t>环境事件由国务院、省人民政府组织应对。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根据突发</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lang w:val="en-US" w:eastAsia="zh-CN"/>
        </w:rPr>
        <w:t>环境事件的严重程度、影响范围和发展态势，将县级层面应急响应设定为Ⅰ级、Ⅱ级和Ⅲ级3个等级。其中：对初判为特别重大、重大突发</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lang w:val="en-US" w:eastAsia="zh-CN"/>
        </w:rPr>
        <w:t>环境事件的，县级启动Ⅰ级响应；对初判为较大突发</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lang w:val="en-US" w:eastAsia="zh-CN"/>
        </w:rPr>
        <w:t>环境事件的，县级启动Ⅱ级响应；对初判为涉及面广、敏感复杂或处置不当将会产生严重后果的一般突发</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lang w:val="en-US" w:eastAsia="zh-CN"/>
        </w:rPr>
        <w:t>环境事件，县级启动Ⅲ级响应。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突发</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lang w:val="en-US" w:eastAsia="zh-CN"/>
        </w:rPr>
        <w:t>环境事件发生在易造成重大影响的地区或重要时段时，可适当提高响应级别。应急响应启动后，可视事件损害情况及其发展趋势调整响应级别，避免响应不足或响应过度。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楷体" w:hAnsi="楷体" w:eastAsia="楷体" w:cs="楷体"/>
          <w:b/>
          <w:bCs/>
          <w:sz w:val="32"/>
          <w:szCs w:val="32"/>
          <w:lang w:val="en-US" w:eastAsia="zh-CN"/>
        </w:rPr>
      </w:pPr>
      <w:bookmarkStart w:id="118" w:name="_Toc31299_WPSOffice_Level2"/>
      <w:bookmarkStart w:id="119" w:name="_Toc834"/>
      <w:r>
        <w:rPr>
          <w:rFonts w:hint="eastAsia" w:ascii="楷体" w:hAnsi="楷体" w:eastAsia="楷体" w:cs="楷体"/>
          <w:b/>
          <w:bCs/>
          <w:sz w:val="32"/>
          <w:szCs w:val="32"/>
          <w:lang w:val="en-US" w:eastAsia="zh-CN"/>
        </w:rPr>
        <w:t>6.2 先期处置</w:t>
      </w:r>
      <w:bookmarkEnd w:id="118"/>
      <w:bookmarkEnd w:id="11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突发</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lang w:val="en-US" w:eastAsia="zh-CN"/>
        </w:rPr>
        <w:t>环境事件发生后，县生态环境分局会同县公安、交通运输、应急管理等相关部门组织对污染来源开展排查，查明涉事单位，确定污染物种类和污染范围，切断污染源。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楷体" w:hAnsi="楷体" w:eastAsia="楷体" w:cs="楷体"/>
          <w:b/>
          <w:bCs/>
          <w:sz w:val="32"/>
          <w:szCs w:val="32"/>
          <w:lang w:val="en-US" w:eastAsia="zh-CN"/>
        </w:rPr>
      </w:pPr>
      <w:bookmarkStart w:id="120" w:name="_Toc31753"/>
      <w:bookmarkStart w:id="121" w:name="_Toc28473_WPSOffice_Level2"/>
      <w:r>
        <w:rPr>
          <w:rFonts w:hint="eastAsia" w:ascii="楷体" w:hAnsi="楷体" w:eastAsia="楷体" w:cs="楷体"/>
          <w:b/>
          <w:bCs/>
          <w:sz w:val="32"/>
          <w:szCs w:val="32"/>
          <w:lang w:val="en-US" w:eastAsia="zh-CN"/>
        </w:rPr>
        <w:t>6.3 响应措施</w:t>
      </w:r>
      <w:bookmarkEnd w:id="120"/>
      <w:bookmarkEnd w:id="121"/>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仿宋_GB2312" w:eastAsia="仿宋_GB2312" w:cs="仿宋_GB2312"/>
          <w:b/>
          <w:bCs/>
          <w:sz w:val="32"/>
          <w:szCs w:val="32"/>
        </w:rPr>
      </w:pPr>
      <w:bookmarkStart w:id="122" w:name="_Toc25167_WPSOffice_Level3"/>
      <w:bookmarkStart w:id="123" w:name="_Toc28409"/>
      <w:bookmarkStart w:id="124" w:name="_Toc24136_WPSOffice_Level3"/>
      <w:r>
        <w:rPr>
          <w:rFonts w:hint="eastAsia" w:ascii="仿宋_GB2312" w:hAnsi="仿宋_GB2312" w:eastAsia="仿宋_GB2312" w:cs="仿宋_GB2312"/>
          <w:b/>
          <w:bCs/>
          <w:sz w:val="32"/>
          <w:szCs w:val="32"/>
          <w:lang w:eastAsia="zh-CN"/>
        </w:rPr>
        <w:t>6</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.1</w:t>
      </w:r>
      <w:bookmarkEnd w:id="122"/>
      <w:bookmarkEnd w:id="123"/>
      <w:bookmarkStart w:id="125" w:name="_Toc8775"/>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Ⅰ级</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Ⅱ</w:t>
      </w:r>
      <w:r>
        <w:rPr>
          <w:rFonts w:hint="eastAsia" w:ascii="仿宋_GB2312" w:hAnsi="仿宋_GB2312" w:eastAsia="仿宋_GB2312" w:cs="仿宋_GB2312"/>
          <w:b/>
          <w:bCs/>
          <w:sz w:val="32"/>
          <w:szCs w:val="32"/>
          <w:lang w:eastAsia="zh-CN"/>
        </w:rPr>
        <w:t>级</w:t>
      </w:r>
      <w:r>
        <w:rPr>
          <w:rFonts w:hint="eastAsia" w:ascii="仿宋_GB2312" w:hAnsi="仿宋_GB2312" w:eastAsia="仿宋_GB2312" w:cs="仿宋_GB2312"/>
          <w:b/>
          <w:bCs/>
          <w:sz w:val="32"/>
          <w:szCs w:val="32"/>
        </w:rPr>
        <w:t>响应</w:t>
      </w:r>
      <w:bookmarkEnd w:id="124"/>
      <w:bookmarkEnd w:id="12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对初判为重大及以上突发</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lang w:val="en-US" w:eastAsia="zh-CN"/>
        </w:rPr>
        <w:t>环境事件，根据事件发展事态，经会商研判，及时向县应急指挥中心报告并提出启动Ⅰ级应急响应的建议（审批表见附件5），同时报告县应急指挥中心，按照县应急指挥中心指令具体负责突发环境事件应急处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对初判为较大突发生态</w:t>
      </w:r>
      <w:bookmarkStart w:id="383" w:name="_GoBack"/>
      <w:bookmarkEnd w:id="383"/>
      <w:r>
        <w:rPr>
          <w:rFonts w:hint="eastAsia" w:ascii="仿宋_GB2312" w:hAnsi="仿宋_GB2312" w:eastAsia="仿宋_GB2312" w:cs="仿宋_GB2312"/>
          <w:sz w:val="32"/>
          <w:szCs w:val="32"/>
          <w:lang w:val="en-US" w:eastAsia="zh-CN"/>
        </w:rPr>
        <w:t>环境事件，根据事件发展事态，经会商研判，及时向县应急指挥中心报告并提出启动Ⅱ级应急响应的建议。县应急指挥中心启动Ⅱ级响应，统一指挥突发</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lang w:val="en-US" w:eastAsia="zh-CN"/>
        </w:rPr>
        <w:t>环境事件应急处置工作。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Ⅰ级响应时，分局应急领导小组组长带队赶赴现场，分局实行24小时值班，副组长在岗带班；Ⅱ级响应时，分局应急领导小组组长带队赶赴现场，分局实行24小时值班。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分局应急领导小组组</w:t>
      </w:r>
      <w:r>
        <w:rPr>
          <w:rFonts w:hint="eastAsia" w:ascii="仿宋_GB2312" w:hAnsi="仿宋_GB2312" w:eastAsia="仿宋_GB2312" w:cs="仿宋_GB2312"/>
          <w:sz w:val="32"/>
          <w:szCs w:val="32"/>
          <w:highlight w:val="none"/>
          <w:lang w:val="en-US" w:eastAsia="zh-CN"/>
        </w:rPr>
        <w:t>建由分局相关股室、大队、监测站组成的若干工作小组，并通知相关县直单位加</w:t>
      </w:r>
      <w:r>
        <w:rPr>
          <w:rFonts w:hint="eastAsia" w:ascii="仿宋_GB2312" w:hAnsi="仿宋_GB2312" w:eastAsia="仿宋_GB2312" w:cs="仿宋_GB2312"/>
          <w:sz w:val="32"/>
          <w:szCs w:val="32"/>
          <w:lang w:val="en-US" w:eastAsia="zh-CN"/>
        </w:rPr>
        <w:t>入县突发</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lang w:val="en-US" w:eastAsia="zh-CN"/>
        </w:rPr>
        <w:t>环境事件应急指挥部工作组，参与突发</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lang w:val="en-US" w:eastAsia="zh-CN"/>
        </w:rPr>
        <w:t>环境事件应急处置。各工作组职责和应急处置措施按照《歙县行政区域突发环境事件应急预案》执行。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（1）办公室、县生态环境保护综合行政执法大队等加入县综合协调组和县新闻宣传组；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（2）污染控制股加入县污染处置组；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（3）黄山市歙县生态环境执法监测站加入县应急监测组；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（4）环评股加入县应急保障组；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（5）办公室、县生态环境保护综合行政执法大队、污染控制股等加入县调查评估组；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根据县指挥部的要求，分局应急领导小组指派本局相关部门参加医疗救治、社会维稳等工作组的相关工作。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仿宋_GB2312" w:hAnsi="仿宋_GB2312" w:eastAsia="仿宋_GB2312" w:cs="仿宋_GB2312"/>
          <w:b/>
          <w:bCs/>
          <w:sz w:val="32"/>
          <w:szCs w:val="32"/>
          <w:lang w:eastAsia="zh-CN"/>
        </w:rPr>
      </w:pPr>
      <w:bookmarkStart w:id="126" w:name="_Toc13862_WPSOffice_Level3"/>
      <w:bookmarkStart w:id="127" w:name="_Toc31152"/>
      <w:bookmarkStart w:id="128" w:name="_Toc13750_WPSOffice_Level3"/>
      <w:r>
        <w:rPr>
          <w:rFonts w:hint="eastAsia" w:ascii="仿宋_GB2312" w:hAnsi="仿宋_GB2312" w:eastAsia="仿宋_GB2312" w:cs="仿宋_GB2312"/>
          <w:b/>
          <w:bCs/>
          <w:sz w:val="32"/>
          <w:szCs w:val="32"/>
          <w:lang w:eastAsia="zh-CN"/>
        </w:rPr>
        <w:t>6.</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Ⅲ级</w:t>
      </w:r>
      <w:bookmarkEnd w:id="126"/>
      <w:r>
        <w:rPr>
          <w:rFonts w:hint="eastAsia" w:ascii="仿宋_GB2312" w:hAnsi="仿宋_GB2312" w:eastAsia="仿宋_GB2312" w:cs="仿宋_GB2312"/>
          <w:b/>
          <w:bCs/>
          <w:sz w:val="32"/>
          <w:szCs w:val="32"/>
          <w:lang w:eastAsia="zh-CN"/>
        </w:rPr>
        <w:t>响应</w:t>
      </w:r>
      <w:bookmarkEnd w:id="127"/>
      <w:bookmarkEnd w:id="12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对初判为涉及面广、敏感复杂或处置不当将会产生严重后果的一般突发环境事件，经会商研判，报经分局主要负责同志同意后由</w:t>
      </w:r>
      <w:r>
        <w:rPr>
          <w:rFonts w:hint="eastAsia" w:ascii="仿宋_GB2312" w:hAnsi="仿宋_GB2312" w:eastAsia="仿宋_GB2312" w:cs="仿宋_GB2312"/>
          <w:sz w:val="32"/>
          <w:szCs w:val="32"/>
          <w:lang w:val="en-US" w:eastAsia="zh-CN"/>
        </w:rPr>
        <w:t>县应急指挥中心</w:t>
      </w:r>
      <w:r>
        <w:rPr>
          <w:rFonts w:hint="eastAsia" w:ascii="仿宋_GB2312" w:hAnsi="仿宋_GB2312" w:eastAsia="仿宋_GB2312" w:cs="仿宋_GB2312"/>
          <w:sz w:val="32"/>
          <w:szCs w:val="32"/>
          <w:lang w:eastAsia="zh-CN"/>
        </w:rPr>
        <w:t>（县生态环境分局）决定启动Ⅲ级响应，同时报告</w:t>
      </w:r>
      <w:r>
        <w:rPr>
          <w:rFonts w:hint="eastAsia" w:ascii="仿宋_GB2312" w:hAnsi="仿宋_GB2312" w:eastAsia="仿宋_GB2312" w:cs="仿宋_GB2312"/>
          <w:sz w:val="32"/>
          <w:szCs w:val="32"/>
          <w:lang w:val="en-US" w:eastAsia="zh-CN"/>
        </w:rPr>
        <w:t>县应急指挥中心</w:t>
      </w:r>
      <w:r>
        <w:rPr>
          <w:rFonts w:hint="eastAsia" w:ascii="仿宋_GB2312" w:hAnsi="仿宋_GB2312" w:eastAsia="仿宋_GB2312" w:cs="仿宋_GB2312"/>
          <w:sz w:val="32"/>
          <w:szCs w:val="32"/>
          <w:lang w:eastAsia="zh-CN"/>
        </w:rPr>
        <w:t>总指挥（分管副县长），县人民政府成立</w:t>
      </w:r>
      <w:r>
        <w:rPr>
          <w:rFonts w:hint="eastAsia" w:ascii="仿宋_GB2312" w:hAnsi="仿宋_GB2312" w:eastAsia="仿宋_GB2312" w:cs="仿宋_GB2312"/>
          <w:sz w:val="32"/>
          <w:szCs w:val="32"/>
          <w:lang w:val="en-US" w:eastAsia="zh-CN"/>
        </w:rPr>
        <w:t>县应急指挥中心</w:t>
      </w:r>
      <w:r>
        <w:rPr>
          <w:rFonts w:hint="eastAsia" w:ascii="仿宋_GB2312" w:hAnsi="仿宋_GB2312" w:eastAsia="仿宋_GB2312" w:cs="仿宋_GB2312"/>
          <w:sz w:val="32"/>
          <w:szCs w:val="32"/>
          <w:lang w:eastAsia="zh-CN"/>
        </w:rPr>
        <w:t>，负责现场指挥。</w:t>
      </w:r>
      <w:r>
        <w:rPr>
          <w:rFonts w:hint="eastAsia" w:ascii="仿宋_GB2312" w:hAnsi="仿宋_GB2312" w:eastAsia="仿宋_GB2312" w:cs="仿宋_GB2312"/>
          <w:sz w:val="32"/>
          <w:szCs w:val="32"/>
          <w:lang w:val="en-US" w:eastAsia="zh-CN"/>
        </w:rPr>
        <w:t>县应急指挥中心</w:t>
      </w:r>
      <w:r>
        <w:rPr>
          <w:rFonts w:hint="eastAsia" w:ascii="仿宋_GB2312" w:hAnsi="仿宋_GB2312" w:eastAsia="仿宋_GB2312" w:cs="仿宋_GB2312"/>
          <w:sz w:val="32"/>
          <w:szCs w:val="32"/>
          <w:lang w:eastAsia="zh-CN"/>
        </w:rPr>
        <w:t>办公室派出由县生态环境分</w:t>
      </w:r>
      <w:r>
        <w:rPr>
          <w:rFonts w:hint="eastAsia" w:ascii="仿宋_GB2312" w:hAnsi="仿宋_GB2312" w:eastAsia="仿宋_GB2312" w:cs="仿宋_GB2312"/>
          <w:sz w:val="32"/>
          <w:szCs w:val="32"/>
          <w:lang w:val="en-US" w:eastAsia="zh-CN"/>
        </w:rPr>
        <w:t>局领导带队</w:t>
      </w:r>
      <w:r>
        <w:rPr>
          <w:rFonts w:hint="eastAsia" w:ascii="仿宋_GB2312" w:hAnsi="仿宋_GB2312" w:eastAsia="仿宋_GB2312" w:cs="仿宋_GB2312"/>
          <w:sz w:val="32"/>
          <w:szCs w:val="32"/>
          <w:lang w:eastAsia="zh-CN"/>
        </w:rPr>
        <w:t>，相关股室、大队、监测站</w:t>
      </w:r>
      <w:r>
        <w:rPr>
          <w:rFonts w:hint="eastAsia" w:ascii="仿宋_GB2312" w:hAnsi="仿宋_GB2312" w:eastAsia="仿宋_GB2312" w:cs="仿宋_GB2312"/>
          <w:sz w:val="32"/>
          <w:szCs w:val="32"/>
          <w:lang w:val="en-US" w:eastAsia="zh-CN"/>
        </w:rPr>
        <w:t>以及环境应急专家参加的</w:t>
      </w:r>
      <w:r>
        <w:rPr>
          <w:rFonts w:hint="eastAsia" w:ascii="仿宋_GB2312" w:hAnsi="仿宋_GB2312" w:eastAsia="仿宋_GB2312" w:cs="仿宋_GB2312"/>
          <w:sz w:val="32"/>
          <w:szCs w:val="32"/>
          <w:lang w:eastAsia="zh-CN"/>
        </w:rPr>
        <w:t>工作组赶赴现场。县生态环境分局实行</w:t>
      </w:r>
      <w:r>
        <w:rPr>
          <w:rFonts w:hint="eastAsia" w:ascii="仿宋_GB2312" w:hAnsi="仿宋_GB2312" w:eastAsia="仿宋_GB2312" w:cs="仿宋_GB2312"/>
          <w:sz w:val="32"/>
          <w:szCs w:val="32"/>
          <w:lang w:val="en-US" w:eastAsia="zh-CN"/>
        </w:rPr>
        <w:t>24小时值班。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工作组到达现场后，开展污染源排查、应急处置、应急监测、原因调查等工作，并根据需要协调有关方面提供队伍、物资、技术等支持。主要工作：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（1）了解事件情况、影响、应急处置进展及当地需求等；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（2）指导事发地制订应急处置方案；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（3）根据地方请求，组织协调相关应急队伍、物资、装备等，为应急处置提供支援和技术支持；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（4）对跨县（区）级行政区域突发生态环境事件应对工作进行协调；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（5）指导开展事件原因调查及损害评估工作。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楷体" w:hAnsi="楷体" w:eastAsia="楷体" w:cs="楷体"/>
          <w:b/>
          <w:bCs/>
          <w:sz w:val="32"/>
          <w:szCs w:val="32"/>
          <w:lang w:eastAsia="zh-CN"/>
        </w:rPr>
      </w:pPr>
      <w:bookmarkStart w:id="129" w:name="_Toc12080"/>
      <w:bookmarkStart w:id="130" w:name="_Toc22084_WPSOffice_Level2"/>
      <w:bookmarkStart w:id="131" w:name="_Toc344713127"/>
      <w:bookmarkStart w:id="132" w:name="_Toc263"/>
      <w:bookmarkStart w:id="133" w:name="_Toc340667152"/>
      <w:r>
        <w:rPr>
          <w:rFonts w:hint="eastAsia" w:ascii="楷体" w:hAnsi="楷体" w:eastAsia="楷体" w:cs="楷体"/>
          <w:b/>
          <w:bCs/>
          <w:sz w:val="32"/>
          <w:szCs w:val="32"/>
          <w:lang w:eastAsia="zh-CN"/>
        </w:rPr>
        <w:t>6.</w:t>
      </w:r>
      <w:r>
        <w:rPr>
          <w:rFonts w:hint="eastAsia" w:ascii="楷体" w:hAnsi="楷体" w:eastAsia="楷体" w:cs="楷体"/>
          <w:b/>
          <w:bCs/>
          <w:sz w:val="32"/>
          <w:szCs w:val="32"/>
          <w:lang w:val="en-US" w:eastAsia="zh-CN"/>
        </w:rPr>
        <w:t xml:space="preserve">4 </w:t>
      </w:r>
      <w:r>
        <w:rPr>
          <w:rFonts w:hint="eastAsia" w:ascii="楷体" w:hAnsi="楷体" w:eastAsia="楷体" w:cs="楷体"/>
          <w:b/>
          <w:bCs/>
          <w:sz w:val="32"/>
          <w:szCs w:val="32"/>
          <w:lang w:eastAsia="zh-CN"/>
        </w:rPr>
        <w:t>信息发布</w:t>
      </w:r>
      <w:bookmarkEnd w:id="129"/>
      <w:bookmarkEnd w:id="130"/>
      <w:bookmarkEnd w:id="131"/>
      <w:bookmarkEnd w:id="132"/>
      <w:bookmarkEnd w:id="13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2"/>
          <w:szCs w:val="32"/>
          <w:lang w:eastAsia="zh-CN"/>
        </w:rPr>
        <w:t>根</w:t>
      </w:r>
      <w:r>
        <w:rPr>
          <w:rFonts w:hint="eastAsia" w:ascii="仿宋_GB2312" w:hAnsi="仿宋_GB2312" w:eastAsia="仿宋_GB2312" w:cs="仿宋_GB2312"/>
          <w:sz w:val="30"/>
          <w:szCs w:val="30"/>
          <w:lang w:eastAsia="zh-CN"/>
        </w:rPr>
        <w:t>据县突发</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0"/>
          <w:szCs w:val="30"/>
          <w:lang w:eastAsia="zh-CN"/>
        </w:rPr>
        <w:t>环境事件</w:t>
      </w:r>
      <w:r>
        <w:rPr>
          <w:rFonts w:hint="eastAsia" w:ascii="仿宋_GB2312" w:hAnsi="仿宋_GB2312" w:eastAsia="仿宋_GB2312" w:cs="仿宋_GB2312"/>
          <w:sz w:val="32"/>
          <w:szCs w:val="32"/>
          <w:lang w:val="en-US" w:eastAsia="zh-CN"/>
        </w:rPr>
        <w:t>县应急指挥中心</w:t>
      </w:r>
      <w:r>
        <w:rPr>
          <w:rFonts w:hint="eastAsia" w:ascii="仿宋_GB2312" w:hAnsi="仿宋_GB2312" w:eastAsia="仿宋_GB2312" w:cs="仿宋_GB2312"/>
          <w:sz w:val="30"/>
          <w:szCs w:val="30"/>
          <w:lang w:eastAsia="zh-CN"/>
        </w:rPr>
        <w:t>统一组织，配合做好应急处置信息发布，主动、及时、准确、客观地向社会发布突发环境事件和应对工作信息，回应社会关切，澄清不实信息，做好舆论引导。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信息发布内容包括事件原因、污染程度、影响范围、应对措施、需要公众配合采取的措施、公众防范常识和事件调查处理进展情况等。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楷体" w:hAnsi="楷体" w:eastAsia="楷体" w:cs="楷体"/>
          <w:b/>
          <w:bCs/>
          <w:sz w:val="32"/>
          <w:szCs w:val="32"/>
          <w:lang w:eastAsia="zh-CN"/>
        </w:rPr>
      </w:pPr>
      <w:bookmarkStart w:id="134" w:name="_Toc31497"/>
      <w:bookmarkStart w:id="135" w:name="_Toc25204"/>
      <w:bookmarkStart w:id="136" w:name="_Toc7687"/>
      <w:bookmarkStart w:id="137" w:name="_Toc516_WPSOffice_Level2"/>
      <w:bookmarkStart w:id="138" w:name="_Toc4273"/>
      <w:bookmarkStart w:id="139" w:name="_Toc344713139"/>
      <w:bookmarkStart w:id="140" w:name="_Toc340667164"/>
      <w:r>
        <w:rPr>
          <w:rFonts w:hint="eastAsia" w:ascii="楷体" w:hAnsi="楷体" w:eastAsia="楷体" w:cs="楷体"/>
          <w:b/>
          <w:bCs/>
          <w:sz w:val="32"/>
          <w:szCs w:val="32"/>
          <w:lang w:val="en-US" w:eastAsia="zh-CN"/>
        </w:rPr>
        <w:t>6</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 xml:space="preserve">5 </w:t>
      </w:r>
      <w:r>
        <w:rPr>
          <w:rFonts w:hint="eastAsia" w:ascii="楷体" w:hAnsi="楷体" w:eastAsia="楷体" w:cs="楷体"/>
          <w:b/>
          <w:bCs/>
          <w:sz w:val="32"/>
          <w:szCs w:val="32"/>
          <w:lang w:eastAsia="zh-CN"/>
        </w:rPr>
        <w:t>响应终止</w:t>
      </w:r>
      <w:bookmarkEnd w:id="134"/>
      <w:bookmarkEnd w:id="135"/>
      <w:bookmarkEnd w:id="136"/>
      <w:bookmarkEnd w:id="137"/>
      <w:bookmarkEnd w:id="138"/>
      <w:r>
        <w:rPr>
          <w:rFonts w:hint="eastAsia" w:ascii="楷体" w:hAnsi="楷体" w:eastAsia="楷体" w:cs="楷体"/>
          <w:b/>
          <w:bCs/>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当事件处置基本完毕、污染物质降至规定限值以内、所造成的危害基本消除时，由启动响应的应急指挥机构终止应急响应。</w:t>
      </w:r>
    </w:p>
    <w:bookmarkEnd w:id="139"/>
    <w:bookmarkEnd w:id="14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微软雅黑" w:hAnsi="微软雅黑" w:eastAsia="微软雅黑" w:cs="微软雅黑"/>
          <w:b/>
          <w:bCs/>
          <w:sz w:val="32"/>
          <w:szCs w:val="32"/>
          <w:lang w:eastAsia="zh-CN"/>
        </w:rPr>
      </w:pPr>
      <w:bookmarkStart w:id="141" w:name="_Toc344713140"/>
      <w:bookmarkStart w:id="142" w:name="_Toc340667165"/>
      <w:bookmarkStart w:id="143" w:name="_Toc16638"/>
      <w:bookmarkStart w:id="144" w:name="_Toc13903"/>
      <w:bookmarkStart w:id="145" w:name="_Toc17828"/>
      <w:bookmarkStart w:id="146" w:name="_Toc4283_WPSOffice_Level1"/>
      <w:r>
        <w:rPr>
          <w:rFonts w:hint="eastAsia" w:ascii="微软雅黑" w:hAnsi="微软雅黑" w:eastAsia="微软雅黑" w:cs="微软雅黑"/>
          <w:b/>
          <w:bCs/>
          <w:sz w:val="32"/>
          <w:szCs w:val="32"/>
          <w:lang w:eastAsia="zh-CN"/>
        </w:rPr>
        <w:t>7  后期</w:t>
      </w:r>
      <w:bookmarkEnd w:id="141"/>
      <w:bookmarkEnd w:id="142"/>
      <w:r>
        <w:rPr>
          <w:rFonts w:hint="eastAsia" w:ascii="微软雅黑" w:hAnsi="微软雅黑" w:eastAsia="微软雅黑" w:cs="微软雅黑"/>
          <w:b/>
          <w:bCs/>
          <w:sz w:val="32"/>
          <w:szCs w:val="32"/>
          <w:lang w:eastAsia="zh-CN"/>
        </w:rPr>
        <w:t>工作</w:t>
      </w:r>
      <w:bookmarkEnd w:id="143"/>
      <w:bookmarkEnd w:id="144"/>
      <w:bookmarkEnd w:id="145"/>
      <w:bookmarkEnd w:id="146"/>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楷体" w:hAnsi="楷体" w:eastAsia="楷体" w:cs="楷体"/>
          <w:b/>
          <w:bCs/>
          <w:sz w:val="32"/>
          <w:szCs w:val="32"/>
          <w:lang w:eastAsia="zh-CN"/>
        </w:rPr>
      </w:pPr>
      <w:bookmarkStart w:id="147" w:name="_Toc13459"/>
      <w:bookmarkStart w:id="148" w:name="_Toc16420_WPSOffice_Level2"/>
      <w:bookmarkStart w:id="149" w:name="_Toc26688"/>
      <w:bookmarkStart w:id="150" w:name="_Toc6659"/>
      <w:bookmarkStart w:id="151" w:name="_Toc8345"/>
      <w:bookmarkStart w:id="152" w:name="_Toc340667166"/>
      <w:bookmarkStart w:id="153" w:name="_Toc344713141"/>
      <w:r>
        <w:rPr>
          <w:rFonts w:hint="eastAsia" w:ascii="楷体" w:hAnsi="楷体" w:eastAsia="楷体" w:cs="楷体"/>
          <w:b/>
          <w:bCs/>
          <w:sz w:val="32"/>
          <w:szCs w:val="32"/>
          <w:lang w:eastAsia="zh-CN"/>
        </w:rPr>
        <w:t>7.1</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lang w:eastAsia="zh-CN"/>
        </w:rPr>
        <w:t>损失评估</w:t>
      </w:r>
      <w:bookmarkEnd w:id="147"/>
      <w:bookmarkEnd w:id="148"/>
      <w:bookmarkEnd w:id="149"/>
      <w:bookmarkEnd w:id="150"/>
      <w:bookmarkEnd w:id="15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生态环境分局可以在突发生态环境事件应急处置期间组织开展与评估相关的资料收集等前期准备工作；应急响应终止后，在县人民政府统一部署下，县生态环境分局组织开展突发生态环境事件应急处置阶段直接经济损失评估工作。评估结论作为确定突发生态环境事件等级、行政处罚等工作的依据。突发生态环境事件应急处置阶段直接经济损失评估按照生态环境部相关规定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楷体" w:hAnsi="楷体" w:eastAsia="楷体" w:cs="楷体"/>
          <w:b/>
          <w:bCs/>
          <w:sz w:val="32"/>
          <w:szCs w:val="32"/>
          <w:lang w:eastAsia="zh-CN"/>
        </w:rPr>
      </w:pPr>
      <w:bookmarkStart w:id="154" w:name="_Toc17411"/>
      <w:bookmarkStart w:id="155" w:name="_Toc10987_WPSOffice_Level2"/>
      <w:bookmarkStart w:id="156" w:name="_Toc9071"/>
      <w:bookmarkStart w:id="157" w:name="_Toc17203"/>
      <w:bookmarkStart w:id="158" w:name="_Toc11293"/>
      <w:r>
        <w:rPr>
          <w:rFonts w:hint="eastAsia" w:ascii="楷体" w:hAnsi="楷体" w:eastAsia="楷体" w:cs="楷体"/>
          <w:b/>
          <w:bCs/>
          <w:sz w:val="32"/>
          <w:szCs w:val="32"/>
          <w:lang w:val="en-US" w:eastAsia="zh-CN"/>
        </w:rPr>
        <w:t>7</w:t>
      </w:r>
      <w:r>
        <w:rPr>
          <w:rFonts w:hint="eastAsia" w:ascii="楷体" w:hAnsi="楷体" w:eastAsia="楷体" w:cs="楷体"/>
          <w:b/>
          <w:bCs/>
          <w:sz w:val="32"/>
          <w:szCs w:val="32"/>
          <w:lang w:eastAsia="zh-CN"/>
        </w:rPr>
        <w:t>.2</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lang w:eastAsia="zh-CN"/>
        </w:rPr>
        <w:t>事件调查</w:t>
      </w:r>
      <w:bookmarkEnd w:id="154"/>
      <w:bookmarkEnd w:id="155"/>
      <w:bookmarkEnd w:id="156"/>
      <w:bookmarkEnd w:id="157"/>
      <w:bookmarkEnd w:id="15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应急响应终止后，按照有关规定，分局应急领导小组配合省、市生态环境部门开展较大及以上突发环境事件的调查处理；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一般突发环境事件的调查处理由县生态环境分局视情组织开展。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楷体" w:hAnsi="楷体" w:eastAsia="楷体" w:cs="楷体"/>
          <w:b/>
          <w:bCs/>
          <w:sz w:val="32"/>
          <w:szCs w:val="32"/>
          <w:lang w:val="en-US" w:eastAsia="zh-CN"/>
        </w:rPr>
      </w:pPr>
      <w:bookmarkStart w:id="159" w:name="_Toc18920"/>
      <w:bookmarkStart w:id="160" w:name="_Toc29299"/>
      <w:bookmarkStart w:id="161" w:name="_Toc21359"/>
      <w:bookmarkStart w:id="162" w:name="_Toc7294_WPSOffice_Level2"/>
      <w:bookmarkStart w:id="163" w:name="_Toc7274"/>
      <w:r>
        <w:rPr>
          <w:rFonts w:hint="eastAsia" w:ascii="楷体" w:hAnsi="楷体" w:eastAsia="楷体" w:cs="楷体"/>
          <w:b/>
          <w:bCs/>
          <w:sz w:val="32"/>
          <w:szCs w:val="32"/>
          <w:lang w:val="en-US" w:eastAsia="zh-CN"/>
        </w:rPr>
        <w:t>7.3</w:t>
      </w:r>
      <w:bookmarkEnd w:id="159"/>
      <w:bookmarkEnd w:id="160"/>
      <w:bookmarkEnd w:id="161"/>
      <w:r>
        <w:rPr>
          <w:rFonts w:hint="eastAsia" w:ascii="楷体" w:hAnsi="楷体" w:eastAsia="楷体" w:cs="楷体"/>
          <w:b/>
          <w:bCs/>
          <w:sz w:val="32"/>
          <w:szCs w:val="32"/>
          <w:lang w:val="en-US" w:eastAsia="zh-CN"/>
        </w:rPr>
        <w:t xml:space="preserve"> 总结评估</w:t>
      </w:r>
      <w:bookmarkEnd w:id="162"/>
      <w:bookmarkEnd w:id="16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应急处置工作结束后，按照“谁响应，谁评估”的原则，县生态环境分局对相应的突发生态环境事件应急处置工作进行总结评估，形成总结报告或案例分析材料，并报上级生态环境部门。县生态环境分局对启动县级应急响应的突发生态环境事件的应急处置工作进行总结评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楷体" w:hAnsi="楷体" w:eastAsia="楷体" w:cs="楷体"/>
          <w:b/>
          <w:bCs/>
          <w:sz w:val="32"/>
          <w:szCs w:val="32"/>
          <w:lang w:val="en-US" w:eastAsia="zh-CN"/>
        </w:rPr>
      </w:pPr>
      <w:bookmarkStart w:id="164" w:name="_Toc8826"/>
      <w:bookmarkStart w:id="165" w:name="_Toc6973_WPSOffice_Level2"/>
      <w:bookmarkStart w:id="166" w:name="_Toc17618"/>
      <w:bookmarkStart w:id="167" w:name="_Toc14774"/>
      <w:bookmarkStart w:id="168" w:name="_Toc19223"/>
      <w:r>
        <w:rPr>
          <w:rFonts w:hint="eastAsia" w:ascii="楷体" w:hAnsi="楷体" w:eastAsia="楷体" w:cs="楷体"/>
          <w:b/>
          <w:bCs/>
          <w:sz w:val="32"/>
          <w:szCs w:val="32"/>
          <w:lang w:val="en-US" w:eastAsia="zh-CN"/>
        </w:rPr>
        <w:t>7.4 善后处置</w:t>
      </w:r>
      <w:bookmarkEnd w:id="164"/>
      <w:bookmarkEnd w:id="165"/>
      <w:bookmarkEnd w:id="166"/>
      <w:bookmarkEnd w:id="167"/>
      <w:bookmarkEnd w:id="16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应急响应终止后，县生态环境分局指导</w:t>
      </w:r>
      <w:r>
        <w:rPr>
          <w:rFonts w:hint="eastAsia" w:ascii="仿宋_GB2312" w:hAnsi="仿宋_GB2312" w:eastAsia="仿宋_GB2312" w:cs="仿宋_GB2312"/>
          <w:sz w:val="32"/>
          <w:szCs w:val="32"/>
          <w:lang w:val="en-US" w:eastAsia="zh-CN"/>
        </w:rPr>
        <w:t>事发地</w:t>
      </w:r>
      <w:r>
        <w:rPr>
          <w:rFonts w:hint="eastAsia" w:ascii="仿宋_GB2312" w:hAnsi="仿宋_GB2312" w:eastAsia="仿宋_GB2312" w:cs="仿宋_GB2312"/>
          <w:sz w:val="32"/>
          <w:szCs w:val="32"/>
          <w:lang w:eastAsia="zh-CN"/>
        </w:rPr>
        <w:t>政府及时组织制订并实施生态环境恢复工作方案。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微软雅黑" w:hAnsi="微软雅黑" w:eastAsia="微软雅黑" w:cs="微软雅黑"/>
          <w:sz w:val="32"/>
          <w:szCs w:val="32"/>
          <w:lang w:eastAsia="zh-CN"/>
        </w:rPr>
      </w:pPr>
      <w:bookmarkStart w:id="169" w:name="_Toc10508_WPSOffice_Level1"/>
      <w:bookmarkStart w:id="170" w:name="_Toc25352"/>
      <w:bookmarkStart w:id="171" w:name="_Toc18193"/>
      <w:bookmarkStart w:id="172" w:name="_Toc23028"/>
      <w:r>
        <w:rPr>
          <w:rFonts w:hint="eastAsia" w:ascii="微软雅黑" w:hAnsi="微软雅黑" w:eastAsia="微软雅黑" w:cs="微软雅黑"/>
          <w:sz w:val="32"/>
          <w:szCs w:val="32"/>
          <w:lang w:val="en-US" w:eastAsia="zh-CN"/>
        </w:rPr>
        <w:t xml:space="preserve">8  </w:t>
      </w:r>
      <w:r>
        <w:rPr>
          <w:rFonts w:hint="eastAsia" w:ascii="微软雅黑" w:hAnsi="微软雅黑" w:eastAsia="微软雅黑" w:cs="微软雅黑"/>
          <w:sz w:val="32"/>
          <w:szCs w:val="32"/>
          <w:lang w:eastAsia="zh-CN"/>
        </w:rPr>
        <w:t>应急保障</w:t>
      </w:r>
      <w:bookmarkEnd w:id="169"/>
      <w:bookmarkEnd w:id="17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县生态环境分局应急领导小组根据全县生态环境应急工作的需要，协调必要的资金、装备、通信、技术保障。</w:t>
      </w:r>
    </w:p>
    <w:bookmarkEnd w:id="152"/>
    <w:bookmarkEnd w:id="153"/>
    <w:bookmarkEnd w:id="171"/>
    <w:bookmarkEnd w:id="172"/>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微软雅黑" w:hAnsi="微软雅黑" w:eastAsia="微软雅黑" w:cs="微软雅黑"/>
          <w:sz w:val="32"/>
          <w:szCs w:val="32"/>
        </w:rPr>
      </w:pPr>
      <w:bookmarkStart w:id="173" w:name="_Toc3729"/>
      <w:bookmarkStart w:id="174" w:name="_Toc344713149"/>
      <w:bookmarkStart w:id="175" w:name="_Toc340667174"/>
      <w:bookmarkStart w:id="176" w:name="_Toc23809"/>
      <w:bookmarkStart w:id="177" w:name="_Toc21919"/>
      <w:bookmarkStart w:id="178" w:name="_Toc5161_WPSOffice_Level1"/>
      <w:r>
        <w:rPr>
          <w:rFonts w:hint="eastAsia" w:ascii="微软雅黑" w:hAnsi="微软雅黑" w:eastAsia="微软雅黑" w:cs="微软雅黑"/>
          <w:sz w:val="32"/>
          <w:szCs w:val="32"/>
          <w:lang w:eastAsia="zh-CN"/>
        </w:rPr>
        <w:t>9</w:t>
      </w:r>
      <w:bookmarkEnd w:id="173"/>
      <w:bookmarkEnd w:id="174"/>
      <w:bookmarkEnd w:id="175"/>
      <w:bookmarkEnd w:id="176"/>
      <w:bookmarkStart w:id="179" w:name="_Toc340667178"/>
      <w:bookmarkStart w:id="180" w:name="_Toc344713153"/>
      <w:bookmarkStart w:id="181" w:name="_Toc26259"/>
      <w:bookmarkStart w:id="182" w:name="_Toc231832881"/>
      <w:bookmarkStart w:id="183" w:name="_Toc18307"/>
      <w:r>
        <w:rPr>
          <w:rFonts w:hint="eastAsia" w:ascii="微软雅黑" w:hAnsi="微软雅黑" w:eastAsia="微软雅黑" w:cs="微软雅黑"/>
          <w:sz w:val="32"/>
          <w:szCs w:val="32"/>
          <w:lang w:val="en-US" w:eastAsia="zh-CN"/>
        </w:rPr>
        <w:t xml:space="preserve">  </w:t>
      </w:r>
      <w:r>
        <w:rPr>
          <w:rFonts w:hint="eastAsia" w:ascii="微软雅黑" w:hAnsi="微软雅黑" w:eastAsia="微软雅黑" w:cs="微软雅黑"/>
          <w:sz w:val="32"/>
          <w:szCs w:val="32"/>
        </w:rPr>
        <w:t>附则</w:t>
      </w:r>
      <w:bookmarkEnd w:id="177"/>
      <w:bookmarkEnd w:id="178"/>
      <w:bookmarkEnd w:id="179"/>
      <w:bookmarkEnd w:id="180"/>
      <w:bookmarkEnd w:id="181"/>
      <w:bookmarkEnd w:id="182"/>
      <w:bookmarkEnd w:id="183"/>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楷体" w:hAnsi="楷体" w:eastAsia="楷体" w:cs="楷体"/>
          <w:b/>
          <w:bCs/>
          <w:sz w:val="32"/>
          <w:szCs w:val="32"/>
          <w:lang w:val="en-US" w:eastAsia="zh-CN"/>
        </w:rPr>
      </w:pPr>
      <w:bookmarkStart w:id="184" w:name="_Toc15654_WPSOffice_Level2"/>
      <w:bookmarkStart w:id="185" w:name="_Toc14382"/>
      <w:bookmarkStart w:id="186" w:name="_Toc15548"/>
      <w:bookmarkStart w:id="187" w:name="_Toc7079"/>
      <w:bookmarkStart w:id="188" w:name="_Toc12139"/>
      <w:r>
        <w:rPr>
          <w:rFonts w:hint="eastAsia" w:ascii="楷体" w:hAnsi="楷体" w:eastAsia="楷体" w:cs="楷体"/>
          <w:b/>
          <w:bCs/>
          <w:sz w:val="32"/>
          <w:szCs w:val="32"/>
          <w:lang w:val="en-US" w:eastAsia="zh-CN"/>
        </w:rPr>
        <w:t>9.1 预案管理</w:t>
      </w:r>
      <w:bookmarkEnd w:id="184"/>
      <w:bookmarkEnd w:id="185"/>
      <w:bookmarkEnd w:id="186"/>
      <w:bookmarkEnd w:id="187"/>
      <w:bookmarkEnd w:id="18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预案实施后，县生态环境分局要参照本预案和本级政府突发生态环境事件应急预案，做好预案宣传、培训和演练，并根据实际情况，适时组织评估和修订。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楷体" w:hAnsi="楷体" w:eastAsia="楷体" w:cs="楷体"/>
          <w:b/>
          <w:bCs/>
          <w:sz w:val="32"/>
          <w:szCs w:val="32"/>
          <w:lang w:val="en-US" w:eastAsia="zh-CN"/>
        </w:rPr>
      </w:pPr>
      <w:bookmarkStart w:id="189" w:name="_Toc29654"/>
      <w:bookmarkStart w:id="190" w:name="_Toc19298_WPSOffice_Level2"/>
      <w:bookmarkStart w:id="191" w:name="_Toc15939"/>
      <w:bookmarkStart w:id="192" w:name="_Toc8379"/>
      <w:bookmarkStart w:id="193" w:name="_Toc10695"/>
      <w:r>
        <w:rPr>
          <w:rFonts w:hint="eastAsia" w:ascii="楷体" w:hAnsi="楷体" w:eastAsia="楷体" w:cs="楷体"/>
          <w:b/>
          <w:bCs/>
          <w:sz w:val="32"/>
          <w:szCs w:val="32"/>
          <w:lang w:val="en-US" w:eastAsia="zh-CN"/>
        </w:rPr>
        <w:t>9.2 预案解释</w:t>
      </w:r>
      <w:bookmarkEnd w:id="189"/>
      <w:bookmarkEnd w:id="190"/>
      <w:bookmarkEnd w:id="191"/>
      <w:bookmarkEnd w:id="192"/>
      <w:bookmarkEnd w:id="19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本预案由</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lang w:val="en-US" w:eastAsia="zh-CN"/>
        </w:rPr>
        <w:t>生态环境分局负责解释。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楷体" w:hAnsi="楷体" w:eastAsia="楷体" w:cs="楷体"/>
          <w:b/>
          <w:bCs/>
          <w:sz w:val="32"/>
          <w:szCs w:val="32"/>
          <w:lang w:val="en-US" w:eastAsia="zh-CN"/>
        </w:rPr>
      </w:pPr>
      <w:bookmarkStart w:id="194" w:name="_Toc31666"/>
      <w:bookmarkStart w:id="195" w:name="_Toc9764"/>
      <w:bookmarkStart w:id="196" w:name="_Toc27781_WPSOffice_Level2"/>
      <w:bookmarkStart w:id="197" w:name="_Toc8545"/>
      <w:bookmarkStart w:id="198" w:name="_Toc28143"/>
      <w:r>
        <w:rPr>
          <w:rFonts w:hint="eastAsia" w:ascii="楷体" w:hAnsi="楷体" w:eastAsia="楷体" w:cs="楷体"/>
          <w:b/>
          <w:bCs/>
          <w:sz w:val="32"/>
          <w:szCs w:val="32"/>
          <w:lang w:val="en-US" w:eastAsia="zh-CN"/>
        </w:rPr>
        <w:t>9.3 实施时间</w:t>
      </w:r>
      <w:bookmarkEnd w:id="194"/>
      <w:bookmarkEnd w:id="195"/>
      <w:bookmarkEnd w:id="196"/>
      <w:bookmarkEnd w:id="197"/>
      <w:bookmarkEnd w:id="19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u w:val="none"/>
        </w:rPr>
      </w:pPr>
      <w:r>
        <w:rPr>
          <w:rFonts w:hint="eastAsia" w:ascii="仿宋_GB2312" w:hAnsi="仿宋_GB2312" w:eastAsia="仿宋_GB2312" w:cs="仿宋_GB2312"/>
          <w:sz w:val="32"/>
          <w:szCs w:val="32"/>
          <w:lang w:val="en-US" w:eastAsia="zh-CN"/>
        </w:rPr>
        <w:t>本预案自印发之日起实施。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bookmarkStart w:id="199" w:name="_Toc31946_WPSOffice_Level1"/>
      <w:bookmarkStart w:id="200" w:name="_Toc12103_WPSOffice_Level1"/>
      <w:bookmarkStart w:id="201" w:name="_Toc23731_WPSOffice_Level1"/>
      <w:bookmarkStart w:id="202" w:name="_Toc9427_WPSOffice_Level1"/>
      <w:bookmarkStart w:id="203" w:name="_Toc6061"/>
      <w:bookmarkStart w:id="204" w:name="_Toc26311_WPSOffice_Level1"/>
      <w:bookmarkStart w:id="205" w:name="_Toc18060_WPSOffice_Level1"/>
      <w:bookmarkStart w:id="206" w:name="_Toc11168"/>
      <w:r>
        <w:rPr>
          <w:rFonts w:hint="eastAsia" w:ascii="仿宋_GB2312" w:hAnsi="仿宋_GB2312" w:eastAsia="仿宋_GB2312" w:cs="仿宋_GB2312"/>
          <w:sz w:val="32"/>
          <w:szCs w:val="32"/>
          <w:lang w:eastAsia="zh-CN"/>
        </w:rPr>
        <w:t>附件：</w:t>
      </w:r>
      <w:bookmarkEnd w:id="199"/>
      <w:bookmarkEnd w:id="200"/>
      <w:bookmarkEnd w:id="201"/>
      <w:bookmarkEnd w:id="202"/>
      <w:bookmarkEnd w:id="203"/>
      <w:bookmarkEnd w:id="204"/>
      <w:bookmarkEnd w:id="205"/>
      <w:bookmarkStart w:id="207" w:name="_Toc6859_WPSOffice_Level1"/>
      <w:bookmarkStart w:id="208" w:name="_Toc20407_WPSOffice_Level1"/>
      <w:bookmarkStart w:id="209" w:name="_Toc28626_WPSOffice_Level1"/>
      <w:bookmarkStart w:id="210" w:name="_Toc5997_WPSOffice_Level1"/>
      <w:bookmarkStart w:id="211" w:name="_Toc16408_WPSOffice_Level1"/>
      <w:bookmarkStart w:id="212" w:name="_Toc19301_WPSOffice_Level1"/>
      <w:r>
        <w:rPr>
          <w:rFonts w:hint="eastAsia" w:ascii="仿宋_GB2312" w:hAnsi="仿宋_GB2312" w:eastAsia="仿宋_GB2312" w:cs="仿宋_GB2312"/>
          <w:sz w:val="32"/>
          <w:szCs w:val="32"/>
          <w:lang w:val="en-US" w:eastAsia="zh-CN"/>
        </w:rPr>
        <w:t>1.突发</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lang w:val="en-US" w:eastAsia="zh-CN"/>
        </w:rPr>
        <w:t>环境事件分级标准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w:t>
      </w:r>
      <w:bookmarkEnd w:id="206"/>
      <w:bookmarkEnd w:id="207"/>
      <w:bookmarkEnd w:id="208"/>
      <w:bookmarkEnd w:id="209"/>
      <w:bookmarkEnd w:id="210"/>
      <w:bookmarkEnd w:id="211"/>
      <w:bookmarkEnd w:id="212"/>
      <w:r>
        <w:rPr>
          <w:rFonts w:hint="eastAsia" w:ascii="仿宋_GB2312" w:hAnsi="仿宋_GB2312" w:eastAsia="仿宋_GB2312" w:cs="仿宋_GB2312"/>
          <w:sz w:val="32"/>
          <w:szCs w:val="32"/>
          <w:lang w:val="en-US" w:eastAsia="zh-CN"/>
        </w:rPr>
        <w:t>分局应急指挥领导小组成员部门工作职责</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lang w:val="en-US" w:eastAsia="zh-CN"/>
        </w:rPr>
      </w:pPr>
      <w:bookmarkStart w:id="213" w:name="_Toc12332_WPSOffice_Level1"/>
      <w:bookmarkStart w:id="214" w:name="_Toc1151_WPSOffice_Level1"/>
      <w:bookmarkStart w:id="215" w:name="_Toc4317_WPSOffice_Level1"/>
      <w:bookmarkStart w:id="216" w:name="_Toc21983_WPSOffice_Level1"/>
      <w:bookmarkStart w:id="217" w:name="_Toc9448_WPSOffice_Level1"/>
      <w:bookmarkStart w:id="218" w:name="_Toc9911_WPSOffice_Level1"/>
      <w:r>
        <w:rPr>
          <w:rFonts w:hint="eastAsia" w:ascii="仿宋_GB2312" w:hAnsi="仿宋_GB2312" w:eastAsia="仿宋_GB2312" w:cs="仿宋_GB2312"/>
          <w:sz w:val="32"/>
          <w:szCs w:val="32"/>
          <w:lang w:val="en-US" w:eastAsia="zh-CN"/>
        </w:rPr>
        <w:t>3.突发</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lang w:val="en-US" w:eastAsia="zh-CN"/>
        </w:rPr>
        <w:t>环境事件预警分级标准</w:t>
      </w:r>
      <w:bookmarkEnd w:id="213"/>
      <w:bookmarkEnd w:id="214"/>
      <w:bookmarkEnd w:id="215"/>
      <w:bookmarkEnd w:id="216"/>
      <w:bookmarkEnd w:id="217"/>
      <w:bookmarkEnd w:id="218"/>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rPr>
          <w:rFonts w:hint="eastAsia" w:ascii="仿宋_GB2312" w:hAnsi="仿宋_GB2312" w:eastAsia="仿宋_GB2312" w:cs="仿宋_GB2312"/>
          <w:sz w:val="32"/>
          <w:szCs w:val="32"/>
          <w:lang w:val="en-US" w:eastAsia="zh-CN"/>
        </w:rPr>
      </w:pPr>
      <w:bookmarkStart w:id="219" w:name="_Toc25890_WPSOffice_Level1"/>
      <w:bookmarkStart w:id="220" w:name="_Toc24802_WPSOffice_Level1"/>
      <w:bookmarkStart w:id="221" w:name="_Toc13673_WPSOffice_Level1"/>
      <w:bookmarkStart w:id="222" w:name="_Toc3947_WPSOffice_Level1"/>
      <w:bookmarkStart w:id="223" w:name="_Toc28752_WPSOffice_Level1"/>
      <w:bookmarkStart w:id="224" w:name="_Toc16160_WPSOffice_Level1"/>
      <w:r>
        <w:rPr>
          <w:rFonts w:hint="eastAsia" w:ascii="仿宋_GB2312" w:hAnsi="仿宋_GB2312" w:eastAsia="仿宋_GB2312" w:cs="仿宋_GB2312"/>
          <w:sz w:val="32"/>
          <w:szCs w:val="32"/>
          <w:lang w:val="en-US" w:eastAsia="zh-CN"/>
        </w:rPr>
        <w:t>4.歙县突发</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lang w:val="en-US" w:eastAsia="zh-CN"/>
        </w:rPr>
        <w:t>环境事件预警发布（调整、解除）审批表</w:t>
      </w:r>
      <w:bookmarkEnd w:id="219"/>
      <w:bookmarkEnd w:id="220"/>
      <w:bookmarkEnd w:id="221"/>
      <w:bookmarkEnd w:id="222"/>
      <w:bookmarkEnd w:id="223"/>
      <w:bookmarkEnd w:id="224"/>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rPr>
          <w:rFonts w:hint="eastAsia" w:ascii="仿宋_GB2312" w:hAnsi="仿宋_GB2312" w:eastAsia="仿宋_GB2312" w:cs="仿宋_GB2312"/>
          <w:sz w:val="32"/>
          <w:szCs w:val="32"/>
          <w:lang w:val="en-US" w:eastAsia="zh-CN"/>
        </w:rPr>
      </w:pPr>
      <w:bookmarkStart w:id="225" w:name="_Toc31519_WPSOffice_Level1"/>
      <w:bookmarkStart w:id="226" w:name="_Toc23445_WPSOffice_Level1"/>
      <w:bookmarkStart w:id="227" w:name="_Toc4442_WPSOffice_Level1"/>
      <w:bookmarkStart w:id="228" w:name="_Toc22018_WPSOffice_Level1"/>
      <w:bookmarkStart w:id="229" w:name="_Toc17968_WPSOffice_Level1"/>
      <w:bookmarkStart w:id="230" w:name="_Toc478_WPSOffice_Level1"/>
      <w:r>
        <w:rPr>
          <w:rFonts w:hint="eastAsia" w:ascii="仿宋_GB2312" w:hAnsi="仿宋_GB2312" w:eastAsia="仿宋_GB2312" w:cs="仿宋_GB2312"/>
          <w:sz w:val="32"/>
          <w:szCs w:val="32"/>
          <w:lang w:val="en-US" w:eastAsia="zh-CN"/>
        </w:rPr>
        <w:t>5.歙县突发</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lang w:val="en-US" w:eastAsia="zh-CN"/>
        </w:rPr>
        <w:t>环境事件应急响应启动（调整、终止）审批表</w:t>
      </w:r>
      <w:bookmarkEnd w:id="225"/>
      <w:bookmarkEnd w:id="226"/>
      <w:bookmarkEnd w:id="227"/>
      <w:bookmarkEnd w:id="228"/>
      <w:bookmarkEnd w:id="229"/>
      <w:bookmarkEnd w:id="230"/>
      <w:r>
        <w:rPr>
          <w:rFonts w:hint="eastAsia" w:ascii="仿宋_GB2312" w:hAnsi="仿宋_GB2312" w:eastAsia="仿宋_GB2312" w:cs="仿宋_GB2312"/>
          <w:sz w:val="32"/>
          <w:szCs w:val="32"/>
          <w:lang w:val="en-US" w:eastAsia="zh-CN"/>
        </w:rPr>
        <w:t xml:space="preserve"> </w:t>
      </w:r>
    </w:p>
    <w:p>
      <w:pPr>
        <w:keepNext w:val="0"/>
        <w:keepLines w:val="0"/>
        <w:pageBreakBefore w:val="0"/>
        <w:kinsoku/>
        <w:overflowPunct/>
        <w:topLinePunct w:val="0"/>
        <w:autoSpaceDE/>
        <w:autoSpaceDN/>
        <w:bidi w:val="0"/>
        <w:spacing w:line="560" w:lineRule="exact"/>
        <w:textAlignment w:val="auto"/>
        <w:rPr>
          <w:rFonts w:hint="eastAsia" w:ascii="仿宋_GB2312" w:hAnsi="仿宋_GB2312" w:eastAsia="仿宋_GB2312" w:cs="仿宋_GB2312"/>
          <w:color w:val="auto"/>
          <w:kern w:val="2"/>
          <w:sz w:val="32"/>
          <w:szCs w:val="32"/>
          <w:u w:val="none"/>
        </w:rPr>
        <w:sectPr>
          <w:footerReference r:id="rId3" w:type="default"/>
          <w:footerReference r:id="rId4" w:type="even"/>
          <w:pgSz w:w="11906" w:h="16838"/>
          <w:pgMar w:top="1701" w:right="1417" w:bottom="1417" w:left="1474"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0"/>
          <w:sz w:val="32"/>
          <w:szCs w:val="32"/>
          <w:u w:val="none"/>
          <w:lang w:val="en-US" w:eastAsia="zh-CN"/>
        </w:rPr>
      </w:pPr>
      <w:bookmarkStart w:id="231" w:name="_Toc25488_WPSOffice_Level1"/>
      <w:bookmarkStart w:id="232" w:name="_Toc22508_WPSOffice_Level1"/>
      <w:bookmarkStart w:id="233" w:name="_Toc14630_WPSOffice_Level1"/>
      <w:bookmarkStart w:id="234" w:name="_Toc25249_WPSOffice_Level1"/>
      <w:bookmarkStart w:id="235" w:name="_Toc30577_WPSOffice_Level1"/>
      <w:bookmarkStart w:id="236" w:name="_Toc17318_WPSOffice_Level1"/>
      <w:bookmarkStart w:id="237" w:name="_Toc22790"/>
      <w:bookmarkStart w:id="238" w:name="_Toc5235"/>
      <w:bookmarkStart w:id="239" w:name="_Toc344713154"/>
      <w:bookmarkStart w:id="240" w:name="_Toc340667179"/>
      <w:r>
        <w:rPr>
          <w:rFonts w:hint="eastAsia" w:ascii="仿宋_GB2312" w:hAnsi="仿宋_GB2312" w:eastAsia="仿宋_GB2312" w:cs="仿宋_GB2312"/>
          <w:b w:val="0"/>
          <w:bCs w:val="0"/>
          <w:kern w:val="0"/>
          <w:sz w:val="32"/>
          <w:szCs w:val="32"/>
          <w:u w:val="none"/>
        </w:rPr>
        <w:t>附件</w:t>
      </w:r>
      <w:r>
        <w:rPr>
          <w:rFonts w:hint="eastAsia" w:ascii="仿宋_GB2312" w:hAnsi="仿宋_GB2312" w:eastAsia="仿宋_GB2312" w:cs="仿宋_GB2312"/>
          <w:b w:val="0"/>
          <w:bCs w:val="0"/>
          <w:kern w:val="0"/>
          <w:sz w:val="32"/>
          <w:szCs w:val="32"/>
          <w:u w:val="none"/>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突发生态环境事件分级标准</w:t>
      </w:r>
    </w:p>
    <w:p>
      <w:pPr>
        <w:keepNext w:val="0"/>
        <w:keepLines w:val="0"/>
        <w:pageBreakBefore w:val="0"/>
        <w:widowControl w:val="0"/>
        <w:kinsoku/>
        <w:wordWrap/>
        <w:overflowPunct/>
        <w:topLinePunct w:val="0"/>
        <w:autoSpaceDE/>
        <w:autoSpaceDN/>
        <w:bidi w:val="0"/>
        <w:adjustRightInd/>
        <w:snapToGrid/>
        <w:spacing w:line="560" w:lineRule="exact"/>
        <w:ind w:firstLine="803" w:firstLineChars="200"/>
        <w:jc w:val="center"/>
        <w:textAlignment w:val="auto"/>
        <w:rPr>
          <w:rFonts w:hint="eastAsia" w:ascii="仿宋_GB2312" w:hAnsi="仿宋_GB2312" w:eastAsia="仿宋_GB2312" w:cs="仿宋_GB2312"/>
          <w:b/>
          <w:bCs/>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微软雅黑" w:hAnsi="微软雅黑" w:eastAsia="微软雅黑" w:cs="微软雅黑"/>
          <w:b w:val="0"/>
          <w:bCs w:val="0"/>
          <w:kern w:val="0"/>
          <w:sz w:val="32"/>
          <w:szCs w:val="32"/>
          <w:u w:val="none"/>
        </w:rPr>
      </w:pPr>
      <w:r>
        <w:rPr>
          <w:rFonts w:hint="eastAsia" w:ascii="微软雅黑" w:hAnsi="微软雅黑" w:eastAsia="微软雅黑" w:cs="微软雅黑"/>
          <w:b w:val="0"/>
          <w:bCs w:val="0"/>
          <w:kern w:val="0"/>
          <w:sz w:val="32"/>
          <w:szCs w:val="32"/>
          <w:u w:val="none"/>
          <w:lang w:eastAsia="zh-CN"/>
        </w:rPr>
        <w:t>一</w:t>
      </w:r>
      <w:r>
        <w:rPr>
          <w:rFonts w:hint="eastAsia" w:ascii="微软雅黑" w:hAnsi="微软雅黑" w:eastAsia="微软雅黑" w:cs="微软雅黑"/>
          <w:b w:val="0"/>
          <w:bCs w:val="0"/>
          <w:kern w:val="0"/>
          <w:sz w:val="32"/>
          <w:szCs w:val="32"/>
          <w:u w:val="none"/>
        </w:rPr>
        <w:t>、特别重大突发环境事件</w:t>
      </w:r>
      <w:bookmarkEnd w:id="231"/>
      <w:bookmarkEnd w:id="232"/>
      <w:bookmarkEnd w:id="233"/>
      <w:bookmarkEnd w:id="234"/>
      <w:bookmarkEnd w:id="235"/>
      <w:bookmarkEnd w:id="23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凡符合下列情形之一的，为特别重大突发环境事件：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1．因环境污染直接导致30人以上死亡或100人以上中毒或重伤的；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2．因环境污染疏散、转移人员5万人以上的；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3．因环境污染造成直接经济损失1亿元以上的；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4．因环境污染造成区域生态功能丧失或该区域国家重点保护物种灭绝的；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5．因环境污</w:t>
      </w:r>
      <w:r>
        <w:rPr>
          <w:rFonts w:hint="eastAsia" w:ascii="仿宋_GB2312" w:hAnsi="仿宋_GB2312" w:eastAsia="仿宋_GB2312" w:cs="仿宋_GB2312"/>
          <w:color w:val="000000"/>
          <w:sz w:val="32"/>
          <w:szCs w:val="32"/>
          <w:highlight w:val="none"/>
          <w:lang w:eastAsia="zh-CN"/>
        </w:rPr>
        <w:t>染造成市级</w:t>
      </w:r>
      <w:r>
        <w:rPr>
          <w:rFonts w:hint="eastAsia" w:ascii="仿宋_GB2312" w:hAnsi="仿宋_GB2312" w:eastAsia="仿宋_GB2312" w:cs="仿宋_GB2312"/>
          <w:sz w:val="32"/>
          <w:szCs w:val="32"/>
          <w:lang w:eastAsia="zh-CN"/>
        </w:rPr>
        <w:t>以上城市集中式饮用水水源地取水中断的。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微软雅黑" w:hAnsi="微软雅黑" w:eastAsia="微软雅黑" w:cs="微软雅黑"/>
          <w:b w:val="0"/>
          <w:bCs w:val="0"/>
          <w:kern w:val="0"/>
          <w:sz w:val="32"/>
          <w:szCs w:val="32"/>
          <w:u w:val="none"/>
        </w:rPr>
      </w:pPr>
      <w:bookmarkStart w:id="241" w:name="_Toc26609_WPSOffice_Level1"/>
      <w:bookmarkStart w:id="242" w:name="_Toc32374_WPSOffice_Level1"/>
      <w:bookmarkStart w:id="243" w:name="_Toc27881_WPSOffice_Level1"/>
      <w:bookmarkStart w:id="244" w:name="_Toc27774_WPSOffice_Level1"/>
      <w:bookmarkStart w:id="245" w:name="_Toc5749_WPSOffice_Level1"/>
      <w:bookmarkStart w:id="246" w:name="_Toc11015_WPSOffice_Level1"/>
      <w:r>
        <w:rPr>
          <w:rFonts w:hint="eastAsia" w:ascii="微软雅黑" w:hAnsi="微软雅黑" w:eastAsia="微软雅黑" w:cs="微软雅黑"/>
          <w:b w:val="0"/>
          <w:bCs w:val="0"/>
          <w:kern w:val="0"/>
          <w:sz w:val="32"/>
          <w:szCs w:val="32"/>
          <w:u w:val="none"/>
        </w:rPr>
        <w:t>二、重大突发环境事件</w:t>
      </w:r>
      <w:bookmarkEnd w:id="241"/>
      <w:bookmarkEnd w:id="242"/>
      <w:bookmarkEnd w:id="243"/>
      <w:bookmarkEnd w:id="244"/>
      <w:bookmarkEnd w:id="245"/>
      <w:bookmarkEnd w:id="24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凡符合下列情形之一的，为重大突发环境事件：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1．因环境污染直接导致10人以上30人以下死亡或50人以上100人以下中毒或重伤的；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2．因环境污染疏散、转移人员1万人以上5万人以下的；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3．因环境污染造成直接经济损失2000万元以上1亿元以下的；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4．因环境污染造成区域生态功能部分丧失或该区域国家重点保护野生动植物种群大批死亡的；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5．因环境污染造成县级城市集中式饮用水水源地取水中断的；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6．造成跨省级行政区域影响的突发环境事件。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微软雅黑" w:hAnsi="微软雅黑" w:eastAsia="微软雅黑" w:cs="微软雅黑"/>
          <w:b w:val="0"/>
          <w:bCs w:val="0"/>
          <w:kern w:val="0"/>
          <w:sz w:val="32"/>
          <w:szCs w:val="32"/>
          <w:u w:val="none"/>
        </w:rPr>
      </w:pPr>
      <w:bookmarkStart w:id="247" w:name="_Toc8256_WPSOffice_Level1"/>
      <w:bookmarkStart w:id="248" w:name="_Toc20734_WPSOffice_Level1"/>
      <w:bookmarkStart w:id="249" w:name="_Toc10379_WPSOffice_Level1"/>
      <w:bookmarkStart w:id="250" w:name="_Toc1472_WPSOffice_Level1"/>
      <w:bookmarkStart w:id="251" w:name="_Toc2188_WPSOffice_Level1"/>
      <w:bookmarkStart w:id="252" w:name="_Toc10382_WPSOffice_Level1"/>
      <w:r>
        <w:rPr>
          <w:rFonts w:hint="eastAsia" w:ascii="微软雅黑" w:hAnsi="微软雅黑" w:eastAsia="微软雅黑" w:cs="微软雅黑"/>
          <w:b w:val="0"/>
          <w:bCs w:val="0"/>
          <w:kern w:val="0"/>
          <w:sz w:val="32"/>
          <w:szCs w:val="32"/>
          <w:u w:val="none"/>
        </w:rPr>
        <w:t>三、较大突发环境事件</w:t>
      </w:r>
      <w:bookmarkEnd w:id="247"/>
      <w:bookmarkEnd w:id="248"/>
      <w:bookmarkEnd w:id="249"/>
      <w:bookmarkEnd w:id="250"/>
      <w:bookmarkEnd w:id="251"/>
      <w:bookmarkEnd w:id="25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凡符合下列情形之一的，为较大突发环境事件：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bookmarkStart w:id="253" w:name="_Toc13776_WPSOffice_Level2"/>
      <w:bookmarkStart w:id="254" w:name="_Toc13416_WPSOffice_Level2"/>
      <w:bookmarkStart w:id="255" w:name="_Toc31461_WPSOffice_Level2"/>
      <w:bookmarkStart w:id="256" w:name="_Toc13437_WPSOffice_Level2"/>
      <w:bookmarkStart w:id="257" w:name="_Toc30003_WPSOffice_Level2"/>
      <w:bookmarkStart w:id="258" w:name="_Toc12068_WPSOffice_Level2"/>
      <w:r>
        <w:rPr>
          <w:rFonts w:hint="eastAsia" w:ascii="仿宋_GB2312" w:hAnsi="仿宋_GB2312" w:eastAsia="仿宋_GB2312" w:cs="仿宋_GB2312"/>
          <w:sz w:val="32"/>
          <w:szCs w:val="32"/>
          <w:lang w:eastAsia="zh-CN"/>
        </w:rPr>
        <w:t>1．因环境污染直接导致3人以上10人以下死亡或10人以上50人以下中毒或重伤的；</w:t>
      </w:r>
      <w:bookmarkEnd w:id="253"/>
      <w:bookmarkEnd w:id="254"/>
      <w:bookmarkEnd w:id="255"/>
      <w:bookmarkEnd w:id="256"/>
      <w:bookmarkEnd w:id="257"/>
      <w:bookmarkEnd w:id="25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bookmarkStart w:id="259" w:name="_Toc5587_WPSOffice_Level2"/>
      <w:bookmarkStart w:id="260" w:name="_Toc16051_WPSOffice_Level2"/>
      <w:bookmarkStart w:id="261" w:name="_Toc20268_WPSOffice_Level2"/>
      <w:bookmarkStart w:id="262" w:name="_Toc1469_WPSOffice_Level2"/>
      <w:bookmarkStart w:id="263" w:name="_Toc3258_WPSOffice_Level2"/>
      <w:bookmarkStart w:id="264" w:name="_Toc7715_WPSOffice_Level2"/>
      <w:r>
        <w:rPr>
          <w:rFonts w:hint="eastAsia" w:ascii="仿宋_GB2312" w:hAnsi="仿宋_GB2312" w:eastAsia="仿宋_GB2312" w:cs="仿宋_GB2312"/>
          <w:sz w:val="32"/>
          <w:szCs w:val="32"/>
          <w:lang w:eastAsia="zh-CN"/>
        </w:rPr>
        <w:t>2．因环境污染疏散、转移人员5000人以上1万人以下的；</w:t>
      </w:r>
      <w:bookmarkEnd w:id="259"/>
      <w:bookmarkEnd w:id="260"/>
      <w:bookmarkEnd w:id="261"/>
      <w:bookmarkEnd w:id="262"/>
      <w:bookmarkEnd w:id="263"/>
      <w:bookmarkEnd w:id="26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bookmarkStart w:id="265" w:name="_Toc8138_WPSOffice_Level2"/>
      <w:bookmarkStart w:id="266" w:name="_Toc10571_WPSOffice_Level2"/>
      <w:bookmarkStart w:id="267" w:name="_Toc10814_WPSOffice_Level2"/>
      <w:bookmarkStart w:id="268" w:name="_Toc32360_WPSOffice_Level2"/>
      <w:bookmarkStart w:id="269" w:name="_Toc209_WPSOffice_Level2"/>
      <w:bookmarkStart w:id="270" w:name="_Toc13008_WPSOffice_Level2"/>
      <w:r>
        <w:rPr>
          <w:rFonts w:hint="eastAsia" w:ascii="仿宋_GB2312" w:hAnsi="仿宋_GB2312" w:eastAsia="仿宋_GB2312" w:cs="仿宋_GB2312"/>
          <w:sz w:val="32"/>
          <w:szCs w:val="32"/>
          <w:lang w:eastAsia="zh-CN"/>
        </w:rPr>
        <w:t>3．因环境污染造成直接经济损失500万元以上2000万元以下的；</w:t>
      </w:r>
      <w:bookmarkEnd w:id="265"/>
      <w:bookmarkEnd w:id="266"/>
      <w:bookmarkEnd w:id="267"/>
      <w:bookmarkEnd w:id="268"/>
      <w:bookmarkEnd w:id="269"/>
      <w:bookmarkEnd w:id="27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bookmarkStart w:id="271" w:name="_Toc140_WPSOffice_Level2"/>
      <w:bookmarkStart w:id="272" w:name="_Toc10972_WPSOffice_Level2"/>
      <w:bookmarkStart w:id="273" w:name="_Toc2349_WPSOffice_Level2"/>
      <w:bookmarkStart w:id="274" w:name="_Toc26482_WPSOffice_Level2"/>
      <w:bookmarkStart w:id="275" w:name="_Toc15861_WPSOffice_Level2"/>
      <w:bookmarkStart w:id="276" w:name="_Toc3871_WPSOffice_Level2"/>
      <w:r>
        <w:rPr>
          <w:rFonts w:hint="eastAsia" w:ascii="仿宋_GB2312" w:hAnsi="仿宋_GB2312" w:eastAsia="仿宋_GB2312" w:cs="仿宋_GB2312"/>
          <w:sz w:val="32"/>
          <w:szCs w:val="32"/>
          <w:lang w:eastAsia="zh-CN"/>
        </w:rPr>
        <w:t>4．因环境污染造成国家重点保护的动植物物种受到破坏的；</w:t>
      </w:r>
      <w:bookmarkEnd w:id="271"/>
      <w:bookmarkEnd w:id="272"/>
      <w:bookmarkEnd w:id="273"/>
      <w:bookmarkEnd w:id="274"/>
      <w:bookmarkEnd w:id="275"/>
      <w:bookmarkEnd w:id="27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bookmarkStart w:id="277" w:name="_Toc28674_WPSOffice_Level2"/>
      <w:bookmarkStart w:id="278" w:name="_Toc12982_WPSOffice_Level2"/>
      <w:bookmarkStart w:id="279" w:name="_Toc8098_WPSOffice_Level2"/>
      <w:bookmarkStart w:id="280" w:name="_Toc11889_WPSOffice_Level2"/>
      <w:bookmarkStart w:id="281" w:name="_Toc23751_WPSOffice_Level2"/>
      <w:bookmarkStart w:id="282" w:name="_Toc20829_WPSOffice_Level2"/>
      <w:r>
        <w:rPr>
          <w:rFonts w:hint="eastAsia" w:ascii="仿宋_GB2312" w:hAnsi="仿宋_GB2312" w:eastAsia="仿宋_GB2312" w:cs="仿宋_GB2312"/>
          <w:sz w:val="32"/>
          <w:szCs w:val="32"/>
          <w:lang w:eastAsia="zh-CN"/>
        </w:rPr>
        <w:t>5．因环境污染造成乡镇集中式饮用水水源地取水中断的；</w:t>
      </w:r>
      <w:bookmarkEnd w:id="277"/>
      <w:bookmarkEnd w:id="278"/>
      <w:bookmarkEnd w:id="279"/>
      <w:bookmarkEnd w:id="280"/>
      <w:bookmarkEnd w:id="281"/>
      <w:bookmarkEnd w:id="28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bookmarkStart w:id="283" w:name="_Toc1612_WPSOffice_Level2"/>
      <w:bookmarkStart w:id="284" w:name="_Toc4716_WPSOffice_Level2"/>
      <w:bookmarkStart w:id="285" w:name="_Toc5626_WPSOffice_Level2"/>
      <w:bookmarkStart w:id="286" w:name="_Toc18087_WPSOffice_Level2"/>
      <w:bookmarkStart w:id="287" w:name="_Toc20374_WPSOffice_Level2"/>
      <w:bookmarkStart w:id="288" w:name="_Toc17335_WPSOffice_Level2"/>
      <w:r>
        <w:rPr>
          <w:rFonts w:hint="eastAsia" w:ascii="仿宋_GB2312" w:hAnsi="仿宋_GB2312" w:eastAsia="仿宋_GB2312" w:cs="仿宋_GB2312"/>
          <w:sz w:val="32"/>
          <w:szCs w:val="32"/>
          <w:lang w:eastAsia="zh-CN"/>
        </w:rPr>
        <w:t>6．造成跨设区的市级行政区域影响的突发环境事件。</w:t>
      </w:r>
      <w:bookmarkEnd w:id="283"/>
      <w:bookmarkEnd w:id="284"/>
      <w:bookmarkEnd w:id="285"/>
      <w:bookmarkEnd w:id="286"/>
      <w:bookmarkEnd w:id="287"/>
      <w:bookmarkEnd w:id="28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微软雅黑" w:hAnsi="微软雅黑" w:eastAsia="微软雅黑" w:cs="微软雅黑"/>
          <w:b w:val="0"/>
          <w:bCs w:val="0"/>
          <w:kern w:val="0"/>
          <w:sz w:val="32"/>
          <w:szCs w:val="32"/>
          <w:u w:val="none"/>
        </w:rPr>
      </w:pPr>
      <w:bookmarkStart w:id="289" w:name="_Toc18621_WPSOffice_Level1"/>
      <w:bookmarkStart w:id="290" w:name="_Toc6464_WPSOffice_Level1"/>
      <w:bookmarkStart w:id="291" w:name="_Toc25172_WPSOffice_Level1"/>
      <w:bookmarkStart w:id="292" w:name="_Toc10093_WPSOffice_Level1"/>
      <w:bookmarkStart w:id="293" w:name="_Toc26235_WPSOffice_Level1"/>
      <w:bookmarkStart w:id="294" w:name="_Toc11416_WPSOffice_Level1"/>
      <w:r>
        <w:rPr>
          <w:rFonts w:hint="eastAsia" w:ascii="微软雅黑" w:hAnsi="微软雅黑" w:eastAsia="微软雅黑" w:cs="微软雅黑"/>
          <w:b w:val="0"/>
          <w:bCs w:val="0"/>
          <w:kern w:val="0"/>
          <w:sz w:val="32"/>
          <w:szCs w:val="32"/>
          <w:u w:val="none"/>
        </w:rPr>
        <w:t>四、一般突发环境事件</w:t>
      </w:r>
      <w:bookmarkEnd w:id="289"/>
      <w:bookmarkEnd w:id="290"/>
      <w:bookmarkEnd w:id="291"/>
      <w:bookmarkEnd w:id="292"/>
      <w:bookmarkEnd w:id="293"/>
      <w:bookmarkEnd w:id="29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凡符合下列情形之一的，为一般突发环境事件：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bookmarkStart w:id="295" w:name="_Toc14868_WPSOffice_Level2"/>
      <w:bookmarkStart w:id="296" w:name="_Toc6028_WPSOffice_Level2"/>
      <w:bookmarkStart w:id="297" w:name="_Toc20102_WPSOffice_Level2"/>
      <w:bookmarkStart w:id="298" w:name="_Toc21807_WPSOffice_Level2"/>
      <w:bookmarkStart w:id="299" w:name="_Toc19593_WPSOffice_Level2"/>
      <w:bookmarkStart w:id="300" w:name="_Toc16864_WPSOffice_Level2"/>
      <w:r>
        <w:rPr>
          <w:rFonts w:hint="eastAsia" w:ascii="仿宋_GB2312" w:hAnsi="仿宋_GB2312" w:eastAsia="仿宋_GB2312" w:cs="仿宋_GB2312"/>
          <w:sz w:val="32"/>
          <w:szCs w:val="32"/>
          <w:lang w:eastAsia="zh-CN"/>
        </w:rPr>
        <w:t>1．因环境污染直接导致3人以下死亡或10人以下中毒或重伤的；</w:t>
      </w:r>
      <w:bookmarkEnd w:id="295"/>
      <w:bookmarkEnd w:id="296"/>
      <w:bookmarkEnd w:id="297"/>
      <w:bookmarkEnd w:id="298"/>
      <w:bookmarkEnd w:id="299"/>
      <w:bookmarkEnd w:id="30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bookmarkStart w:id="301" w:name="_Toc15252_WPSOffice_Level2"/>
      <w:bookmarkStart w:id="302" w:name="_Toc27481_WPSOffice_Level2"/>
      <w:bookmarkStart w:id="303" w:name="_Toc28756_WPSOffice_Level2"/>
      <w:bookmarkStart w:id="304" w:name="_Toc19932_WPSOffice_Level2"/>
      <w:bookmarkStart w:id="305" w:name="_Toc6409_WPSOffice_Level2"/>
      <w:bookmarkStart w:id="306" w:name="_Toc15468_WPSOffice_Level2"/>
      <w:r>
        <w:rPr>
          <w:rFonts w:hint="eastAsia" w:ascii="仿宋_GB2312" w:hAnsi="仿宋_GB2312" w:eastAsia="仿宋_GB2312" w:cs="仿宋_GB2312"/>
          <w:sz w:val="32"/>
          <w:szCs w:val="32"/>
          <w:lang w:eastAsia="zh-CN"/>
        </w:rPr>
        <w:t>2．因环境污染疏散、转移人员5000人以下的；</w:t>
      </w:r>
      <w:bookmarkEnd w:id="301"/>
      <w:bookmarkEnd w:id="302"/>
      <w:bookmarkEnd w:id="303"/>
      <w:bookmarkEnd w:id="304"/>
      <w:bookmarkEnd w:id="305"/>
      <w:bookmarkEnd w:id="30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bookmarkStart w:id="307" w:name="_Toc13058_WPSOffice_Level2"/>
      <w:bookmarkStart w:id="308" w:name="_Toc24377_WPSOffice_Level2"/>
      <w:bookmarkStart w:id="309" w:name="_Toc25372_WPSOffice_Level2"/>
      <w:bookmarkStart w:id="310" w:name="_Toc8496_WPSOffice_Level2"/>
      <w:bookmarkStart w:id="311" w:name="_Toc23631_WPSOffice_Level2"/>
      <w:bookmarkStart w:id="312" w:name="_Toc24277_WPSOffice_Level2"/>
      <w:r>
        <w:rPr>
          <w:rFonts w:hint="eastAsia" w:ascii="仿宋_GB2312" w:hAnsi="仿宋_GB2312" w:eastAsia="仿宋_GB2312" w:cs="仿宋_GB2312"/>
          <w:sz w:val="32"/>
          <w:szCs w:val="32"/>
          <w:lang w:eastAsia="zh-CN"/>
        </w:rPr>
        <w:t>3．因环境污染造成直接经济损失500万元以下的；</w:t>
      </w:r>
      <w:bookmarkEnd w:id="307"/>
      <w:bookmarkEnd w:id="308"/>
      <w:bookmarkEnd w:id="309"/>
      <w:bookmarkEnd w:id="310"/>
      <w:bookmarkEnd w:id="311"/>
      <w:bookmarkEnd w:id="31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bookmarkStart w:id="313" w:name="_Toc18074_WPSOffice_Level2"/>
      <w:bookmarkStart w:id="314" w:name="_Toc8197_WPSOffice_Level2"/>
      <w:bookmarkStart w:id="315" w:name="_Toc11618_WPSOffice_Level2"/>
      <w:bookmarkStart w:id="316" w:name="_Toc2341_WPSOffice_Level2"/>
      <w:bookmarkStart w:id="317" w:name="_Toc13740_WPSOffice_Level2"/>
      <w:bookmarkStart w:id="318" w:name="_Toc24991_WPSOffice_Level2"/>
      <w:r>
        <w:rPr>
          <w:rFonts w:hint="eastAsia" w:ascii="仿宋_GB2312" w:hAnsi="仿宋_GB2312" w:eastAsia="仿宋_GB2312" w:cs="仿宋_GB2312"/>
          <w:sz w:val="32"/>
          <w:szCs w:val="32"/>
          <w:lang w:eastAsia="zh-CN"/>
        </w:rPr>
        <w:t>4．因环境污染造成跨县级行政区域纠纷，引起一般性群体影响的；</w:t>
      </w:r>
      <w:bookmarkEnd w:id="313"/>
      <w:bookmarkEnd w:id="314"/>
      <w:bookmarkEnd w:id="315"/>
      <w:bookmarkEnd w:id="316"/>
      <w:bookmarkEnd w:id="317"/>
      <w:bookmarkEnd w:id="31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bookmarkStart w:id="319" w:name="_Toc7238_WPSOffice_Level2"/>
      <w:bookmarkStart w:id="320" w:name="_Toc21934_WPSOffice_Level2"/>
      <w:bookmarkStart w:id="321" w:name="_Toc25444_WPSOffice_Level2"/>
      <w:bookmarkStart w:id="322" w:name="_Toc7915_WPSOffice_Level2"/>
      <w:bookmarkStart w:id="323" w:name="_Toc16772_WPSOffice_Level2"/>
      <w:bookmarkStart w:id="324" w:name="_Toc19840_WPSOffice_Level2"/>
      <w:r>
        <w:rPr>
          <w:rFonts w:hint="eastAsia" w:ascii="仿宋_GB2312" w:hAnsi="仿宋_GB2312" w:eastAsia="仿宋_GB2312" w:cs="仿宋_GB2312"/>
          <w:sz w:val="32"/>
          <w:szCs w:val="32"/>
          <w:lang w:eastAsia="zh-CN"/>
        </w:rPr>
        <w:t>5．对环境造成一定影响，尚未达到较大突发环境事件级别的。</w:t>
      </w:r>
      <w:bookmarkEnd w:id="319"/>
      <w:bookmarkEnd w:id="320"/>
      <w:bookmarkEnd w:id="321"/>
      <w:bookmarkEnd w:id="322"/>
      <w:bookmarkEnd w:id="323"/>
      <w:bookmarkEnd w:id="324"/>
    </w:p>
    <w:p>
      <w:pPr>
        <w:keepNext w:val="0"/>
        <w:keepLines w:val="0"/>
        <w:pageBreakBefore w:val="0"/>
        <w:kinsoku/>
        <w:overflowPunct/>
        <w:topLinePunct w:val="0"/>
        <w:autoSpaceDE/>
        <w:autoSpaceDN/>
        <w:bidi w:val="0"/>
        <w:spacing w:line="560" w:lineRule="exact"/>
        <w:textAlignment w:val="auto"/>
        <w:rPr>
          <w:rFonts w:hint="eastAsia" w:ascii="仿宋_GB2312" w:hAnsi="仿宋_GB2312" w:eastAsia="仿宋_GB2312" w:cs="仿宋_GB2312"/>
          <w:color w:val="auto"/>
          <w:kern w:val="2"/>
          <w:sz w:val="32"/>
          <w:szCs w:val="32"/>
          <w:u w:val="none"/>
        </w:rPr>
      </w:pPr>
      <w:r>
        <w:rPr>
          <w:rFonts w:hint="eastAsia" w:ascii="仿宋_GB2312" w:hAnsi="仿宋_GB2312" w:eastAsia="仿宋_GB2312" w:cs="仿宋_GB2312"/>
          <w:sz w:val="32"/>
          <w:szCs w:val="32"/>
          <w:lang w:eastAsia="zh-CN"/>
        </w:rPr>
        <w:t>上述分级标准有关数量的表述中，“以上”含本数，“以下”不含本数。</w:t>
      </w:r>
    </w:p>
    <w:p>
      <w:pPr>
        <w:keepNext w:val="0"/>
        <w:keepLines w:val="0"/>
        <w:pageBreakBefore w:val="0"/>
        <w:kinsoku/>
        <w:overflowPunct/>
        <w:topLinePunct w:val="0"/>
        <w:autoSpaceDE/>
        <w:autoSpaceDN/>
        <w:bidi w:val="0"/>
        <w:spacing w:line="560" w:lineRule="exact"/>
        <w:textAlignment w:val="auto"/>
        <w:rPr>
          <w:rFonts w:hint="eastAsia" w:ascii="仿宋_GB2312" w:hAnsi="仿宋_GB2312" w:eastAsia="仿宋_GB2312" w:cs="仿宋_GB2312"/>
          <w:color w:val="auto"/>
          <w:kern w:val="2"/>
          <w:sz w:val="32"/>
          <w:szCs w:val="32"/>
          <w:u w:val="none"/>
        </w:rPr>
      </w:pPr>
    </w:p>
    <w:p>
      <w:pPr>
        <w:keepNext w:val="0"/>
        <w:keepLines w:val="0"/>
        <w:pageBreakBefore w:val="0"/>
        <w:kinsoku/>
        <w:overflowPunct/>
        <w:topLinePunct w:val="0"/>
        <w:autoSpaceDE/>
        <w:autoSpaceDN/>
        <w:bidi w:val="0"/>
        <w:spacing w:line="560" w:lineRule="exact"/>
        <w:textAlignment w:val="auto"/>
        <w:rPr>
          <w:rFonts w:hint="eastAsia" w:ascii="仿宋_GB2312" w:hAnsi="仿宋_GB2312" w:eastAsia="仿宋_GB2312" w:cs="仿宋_GB2312"/>
          <w:color w:val="auto"/>
          <w:kern w:val="2"/>
          <w:sz w:val="32"/>
          <w:szCs w:val="32"/>
          <w:u w:val="none"/>
        </w:rPr>
      </w:pPr>
    </w:p>
    <w:p>
      <w:pPr>
        <w:keepNext w:val="0"/>
        <w:keepLines w:val="0"/>
        <w:pageBreakBefore w:val="0"/>
        <w:kinsoku/>
        <w:overflowPunct/>
        <w:topLinePunct w:val="0"/>
        <w:autoSpaceDE/>
        <w:autoSpaceDN/>
        <w:bidi w:val="0"/>
        <w:spacing w:line="560" w:lineRule="exact"/>
        <w:textAlignment w:val="auto"/>
        <w:rPr>
          <w:rFonts w:hint="eastAsia" w:ascii="仿宋_GB2312" w:hAnsi="仿宋_GB2312" w:eastAsia="仿宋_GB2312" w:cs="仿宋_GB2312"/>
          <w:color w:val="auto"/>
          <w:kern w:val="2"/>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 w:val="32"/>
          <w:szCs w:val="32"/>
          <w:u w:val="none"/>
          <w:lang w:val="en-US" w:eastAsia="zh-CN"/>
        </w:rPr>
      </w:pPr>
      <w:r>
        <w:rPr>
          <w:rFonts w:hint="eastAsia" w:ascii="仿宋_GB2312" w:hAnsi="仿宋_GB2312" w:eastAsia="仿宋_GB2312" w:cs="仿宋_GB2312"/>
          <w:b w:val="0"/>
          <w:bCs w:val="0"/>
          <w:kern w:val="0"/>
          <w:sz w:val="32"/>
          <w:szCs w:val="32"/>
          <w:u w:val="none"/>
        </w:rPr>
        <w:t>附件</w:t>
      </w:r>
      <w:bookmarkEnd w:id="237"/>
      <w:bookmarkEnd w:id="238"/>
      <w:r>
        <w:rPr>
          <w:rFonts w:hint="eastAsia" w:ascii="仿宋_GB2312" w:hAnsi="仿宋_GB2312" w:eastAsia="仿宋_GB2312" w:cs="仿宋_GB2312"/>
          <w:b w:val="0"/>
          <w:bCs w:val="0"/>
          <w:kern w:val="0"/>
          <w:sz w:val="32"/>
          <w:szCs w:val="32"/>
          <w:u w:val="none"/>
          <w:lang w:val="en-US" w:eastAsia="zh-CN"/>
        </w:rPr>
        <w:t>2</w:t>
      </w:r>
    </w:p>
    <w:p>
      <w:pPr>
        <w:keepNext w:val="0"/>
        <w:keepLines w:val="0"/>
        <w:pageBreakBefore w:val="0"/>
        <w:kinsoku/>
        <w:overflowPunct/>
        <w:topLinePunct w:val="0"/>
        <w:autoSpaceDE/>
        <w:autoSpaceDN/>
        <w:bidi w:val="0"/>
        <w:spacing w:line="560" w:lineRule="exact"/>
        <w:ind w:firstLine="0" w:firstLineChars="0"/>
        <w:jc w:val="left"/>
        <w:textAlignment w:val="auto"/>
        <w:rPr>
          <w:rFonts w:hint="eastAsia" w:ascii="仿宋_GB2312" w:hAnsi="仿宋_GB2312" w:eastAsia="仿宋_GB2312" w:cs="仿宋_GB2312"/>
          <w:b w:val="0"/>
          <w:bCs w:val="0"/>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_GBK" w:hAnsi="方正小标宋_GBK" w:eastAsia="方正小标宋_GBK" w:cs="方正小标宋_GBK"/>
          <w:b/>
          <w:bCs/>
          <w:sz w:val="44"/>
          <w:szCs w:val="44"/>
          <w:lang w:val="en-US" w:eastAsia="zh-CN"/>
        </w:rPr>
      </w:pPr>
      <w:bookmarkStart w:id="325" w:name="_Toc15288_WPSOffice_Level1"/>
      <w:bookmarkStart w:id="326" w:name="_Toc24991_WPSOffice_Level1"/>
      <w:bookmarkStart w:id="327" w:name="_Toc26140_WPSOffice_Level1"/>
      <w:bookmarkStart w:id="328" w:name="_Toc29830_WPSOffice_Level1"/>
      <w:bookmarkStart w:id="329" w:name="_Toc11541_WPSOffice_Level1"/>
      <w:bookmarkStart w:id="330" w:name="_Toc15921_WPSOffice_Level1"/>
      <w:r>
        <w:rPr>
          <w:rFonts w:hint="eastAsia" w:ascii="方正小标宋_GBK" w:hAnsi="方正小标宋_GBK" w:eastAsia="方正小标宋_GBK" w:cs="方正小标宋_GBK"/>
          <w:b/>
          <w:bCs/>
          <w:sz w:val="44"/>
          <w:szCs w:val="44"/>
          <w:lang w:val="en-US" w:eastAsia="zh-CN"/>
        </w:rPr>
        <w:t>分局应急指挥领导小组成员部门工作职责</w:t>
      </w:r>
      <w:bookmarkEnd w:id="325"/>
      <w:bookmarkEnd w:id="326"/>
      <w:bookmarkEnd w:id="327"/>
      <w:bookmarkEnd w:id="328"/>
      <w:bookmarkEnd w:id="329"/>
      <w:bookmarkEnd w:id="330"/>
    </w:p>
    <w:p>
      <w:pPr>
        <w:keepNext w:val="0"/>
        <w:keepLines w:val="0"/>
        <w:pageBreakBefore w:val="0"/>
        <w:kinsoku/>
        <w:overflowPunct/>
        <w:topLinePunct w:val="0"/>
        <w:autoSpaceDE/>
        <w:autoSpaceDN/>
        <w:bidi w:val="0"/>
        <w:spacing w:line="560" w:lineRule="exact"/>
        <w:ind w:firstLine="643" w:firstLineChars="200"/>
        <w:jc w:val="left"/>
        <w:textAlignment w:val="auto"/>
        <w:rPr>
          <w:rFonts w:hint="eastAsia" w:ascii="仿宋_GB2312" w:hAnsi="仿宋_GB2312" w:eastAsia="仿宋_GB2312" w:cs="仿宋_GB2312"/>
          <w:b/>
          <w:bCs/>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b w:val="0"/>
          <w:bCs w:val="0"/>
          <w:sz w:val="32"/>
          <w:szCs w:val="32"/>
          <w:highlight w:val="none"/>
          <w:u w:val="none"/>
        </w:rPr>
        <w:t>办公室</w:t>
      </w:r>
      <w:r>
        <w:rPr>
          <w:rFonts w:hint="eastAsia" w:ascii="仿宋_GB2312" w:hAnsi="仿宋_GB2312" w:eastAsia="仿宋_GB2312" w:cs="仿宋_GB2312"/>
          <w:b w:val="0"/>
          <w:bCs w:val="0"/>
          <w:sz w:val="32"/>
          <w:szCs w:val="32"/>
          <w:highlight w:val="none"/>
          <w:u w:val="none"/>
          <w:lang w:eastAsia="zh-CN"/>
        </w:rPr>
        <w:t>：</w:t>
      </w:r>
      <w:r>
        <w:rPr>
          <w:rFonts w:hint="eastAsia" w:ascii="仿宋_GB2312" w:hAnsi="仿宋_GB2312" w:eastAsia="仿宋_GB2312" w:cs="仿宋_GB2312"/>
          <w:sz w:val="32"/>
          <w:szCs w:val="32"/>
          <w:highlight w:val="none"/>
          <w:u w:val="none"/>
          <w:lang w:eastAsia="zh-CN"/>
        </w:rPr>
        <w:t>做好分局</w:t>
      </w:r>
      <w:r>
        <w:rPr>
          <w:rFonts w:hint="eastAsia" w:ascii="仿宋_GB2312" w:hAnsi="仿宋_GB2312" w:eastAsia="仿宋_GB2312" w:cs="仿宋_GB2312"/>
          <w:sz w:val="32"/>
          <w:szCs w:val="32"/>
          <w:highlight w:val="none"/>
          <w:u w:val="none"/>
          <w:lang w:val="en-US" w:eastAsia="zh-CN"/>
        </w:rPr>
        <w:t>日常及节假日值班值守安排；</w:t>
      </w:r>
      <w:r>
        <w:rPr>
          <w:rFonts w:hint="eastAsia" w:ascii="仿宋_GB2312" w:hAnsi="仿宋_GB2312" w:eastAsia="仿宋_GB2312" w:cs="仿宋_GB2312"/>
          <w:sz w:val="32"/>
          <w:szCs w:val="32"/>
          <w:highlight w:val="none"/>
          <w:u w:val="none"/>
          <w:lang w:eastAsia="zh-CN"/>
        </w:rPr>
        <w:t>提出法律法规指导意见，参加突发环境事件调查评估工作。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eastAsia="zh-CN"/>
        </w:rPr>
        <w:t>牵头</w:t>
      </w:r>
      <w:r>
        <w:rPr>
          <w:rFonts w:hint="eastAsia" w:ascii="仿宋_GB2312" w:hAnsi="仿宋_GB2312" w:eastAsia="仿宋_GB2312" w:cs="仿宋_GB2312"/>
          <w:sz w:val="32"/>
          <w:szCs w:val="32"/>
          <w:highlight w:val="none"/>
          <w:u w:val="none"/>
          <w:lang w:eastAsia="zh-CN"/>
        </w:rPr>
        <w:t>负责组织生态环境舆情收集、研判、应对工作，形成生态环境舆情监测与处置管理闭环；参加县指挥部新闻宣传等工作组，</w:t>
      </w:r>
      <w:r>
        <w:rPr>
          <w:rFonts w:hint="eastAsia" w:ascii="仿宋_GB2312" w:hAnsi="仿宋_GB2312" w:eastAsia="仿宋_GB2312" w:cs="仿宋_GB2312"/>
          <w:sz w:val="32"/>
          <w:szCs w:val="32"/>
          <w:highlight w:val="none"/>
          <w:u w:val="none"/>
          <w:lang w:val="en-US" w:eastAsia="zh-CN"/>
        </w:rPr>
        <w:t>参加</w:t>
      </w:r>
      <w:r>
        <w:rPr>
          <w:rFonts w:hint="eastAsia" w:ascii="仿宋_GB2312" w:hAnsi="仿宋_GB2312" w:eastAsia="仿宋_GB2312" w:cs="仿宋_GB2312"/>
          <w:kern w:val="0"/>
          <w:sz w:val="32"/>
          <w:szCs w:val="32"/>
          <w:highlight w:val="none"/>
          <w:u w:val="none"/>
          <w:lang w:eastAsia="zh-CN"/>
        </w:rPr>
        <w:t>县</w:t>
      </w:r>
      <w:r>
        <w:rPr>
          <w:rFonts w:hint="eastAsia" w:ascii="仿宋_GB2312" w:hAnsi="仿宋_GB2312" w:eastAsia="仿宋_GB2312" w:cs="仿宋_GB2312"/>
          <w:sz w:val="32"/>
          <w:szCs w:val="32"/>
          <w:highlight w:val="none"/>
          <w:u w:val="none"/>
          <w:lang w:eastAsia="zh-CN"/>
        </w:rPr>
        <w:t>指挥部</w:t>
      </w:r>
      <w:r>
        <w:rPr>
          <w:rFonts w:hint="eastAsia" w:ascii="仿宋_GB2312" w:hAnsi="仿宋_GB2312" w:eastAsia="仿宋_GB2312" w:cs="仿宋_GB2312"/>
          <w:sz w:val="32"/>
          <w:szCs w:val="32"/>
          <w:highlight w:val="none"/>
          <w:u w:val="none"/>
          <w:lang w:val="en-US" w:eastAsia="zh-CN"/>
        </w:rPr>
        <w:t>综合协调等工作组。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highlight w:val="none"/>
          <w:u w:val="none"/>
          <w:lang w:eastAsia="zh-CN"/>
        </w:rPr>
      </w:pPr>
      <w:r>
        <w:rPr>
          <w:rFonts w:hint="eastAsia" w:ascii="仿宋_GB2312" w:hAnsi="仿宋_GB2312" w:eastAsia="仿宋_GB2312" w:cs="仿宋_GB2312"/>
          <w:b w:val="0"/>
          <w:bCs w:val="0"/>
          <w:sz w:val="32"/>
          <w:szCs w:val="32"/>
          <w:highlight w:val="none"/>
          <w:u w:val="none"/>
          <w:lang w:eastAsia="zh-CN"/>
        </w:rPr>
        <w:t>歙县生态环境保护综合行政执法大队：</w:t>
      </w:r>
      <w:r>
        <w:rPr>
          <w:rFonts w:hint="eastAsia" w:ascii="仿宋_GB2312" w:hAnsi="仿宋_GB2312" w:eastAsia="仿宋_GB2312" w:cs="仿宋_GB2312"/>
          <w:kern w:val="2"/>
          <w:sz w:val="32"/>
          <w:szCs w:val="32"/>
          <w:highlight w:val="none"/>
          <w:u w:val="none"/>
          <w:lang w:val="en-US" w:eastAsia="zh-CN" w:bidi="ar-SA"/>
        </w:rPr>
        <w:t>加强对境内突发环境事件的污染源排查及事件处置工作；</w:t>
      </w:r>
      <w:r>
        <w:rPr>
          <w:rFonts w:hint="eastAsia" w:ascii="仿宋_GB2312" w:hAnsi="仿宋_GB2312" w:eastAsia="仿宋_GB2312" w:cs="仿宋_GB2312"/>
          <w:color w:val="auto"/>
          <w:sz w:val="32"/>
          <w:szCs w:val="32"/>
          <w:highlight w:val="none"/>
          <w:u w:val="none"/>
        </w:rPr>
        <w:t>负责</w:t>
      </w:r>
      <w:r>
        <w:rPr>
          <w:rFonts w:hint="eastAsia" w:ascii="仿宋_GB2312" w:hAnsi="仿宋_GB2312" w:eastAsia="仿宋_GB2312" w:cs="仿宋_GB2312"/>
          <w:sz w:val="32"/>
          <w:szCs w:val="32"/>
          <w:highlight w:val="none"/>
          <w:u w:val="none"/>
        </w:rPr>
        <w:t>全</w:t>
      </w:r>
      <w:r>
        <w:rPr>
          <w:rFonts w:hint="eastAsia" w:ascii="仿宋_GB2312" w:hAnsi="仿宋_GB2312" w:eastAsia="仿宋_GB2312" w:cs="仿宋_GB2312"/>
          <w:sz w:val="32"/>
          <w:szCs w:val="32"/>
          <w:highlight w:val="none"/>
          <w:u w:val="none"/>
          <w:lang w:eastAsia="zh-CN"/>
        </w:rPr>
        <w:t>县环境应急日常管理工作，组建管理县级环境应急专家库，动态管理全县应急物资信息库，加强应急联动机制建设；</w:t>
      </w:r>
      <w:r>
        <w:rPr>
          <w:rFonts w:hint="eastAsia" w:ascii="仿宋_GB2312" w:hAnsi="仿宋_GB2312" w:eastAsia="仿宋_GB2312" w:cs="仿宋_GB2312"/>
          <w:sz w:val="32"/>
          <w:szCs w:val="32"/>
          <w:highlight w:val="none"/>
          <w:u w:val="none"/>
        </w:rPr>
        <w:t>突发环境事件的信息收集、报告；</w:t>
      </w:r>
      <w:r>
        <w:rPr>
          <w:rFonts w:hint="eastAsia" w:ascii="仿宋_GB2312" w:hAnsi="仿宋_GB2312" w:eastAsia="仿宋_GB2312" w:cs="仿宋_GB2312"/>
          <w:sz w:val="32"/>
          <w:szCs w:val="32"/>
          <w:highlight w:val="none"/>
          <w:u w:val="none"/>
          <w:lang w:eastAsia="zh-CN"/>
        </w:rPr>
        <w:t>牵头组建局工作组，</w:t>
      </w:r>
      <w:r>
        <w:rPr>
          <w:rFonts w:hint="eastAsia" w:ascii="仿宋_GB2312" w:hAnsi="仿宋_GB2312" w:eastAsia="仿宋_GB2312" w:cs="仿宋_GB2312"/>
          <w:sz w:val="32"/>
          <w:szCs w:val="32"/>
          <w:highlight w:val="none"/>
          <w:u w:val="none"/>
          <w:lang w:val="en-US" w:eastAsia="zh-CN"/>
        </w:rPr>
        <w:t>参与</w:t>
      </w:r>
      <w:r>
        <w:rPr>
          <w:rFonts w:hint="eastAsia" w:ascii="仿宋_GB2312" w:hAnsi="仿宋_GB2312" w:eastAsia="仿宋_GB2312" w:cs="仿宋_GB2312"/>
          <w:sz w:val="32"/>
          <w:szCs w:val="32"/>
          <w:highlight w:val="none"/>
          <w:u w:val="none"/>
        </w:rPr>
        <w:t>指导</w:t>
      </w:r>
      <w:r>
        <w:rPr>
          <w:rFonts w:hint="eastAsia" w:ascii="仿宋_GB2312" w:hAnsi="仿宋_GB2312" w:eastAsia="仿宋_GB2312" w:cs="仿宋_GB2312"/>
          <w:sz w:val="32"/>
          <w:szCs w:val="32"/>
          <w:highlight w:val="none"/>
          <w:u w:val="none"/>
          <w:lang w:eastAsia="zh-CN"/>
        </w:rPr>
        <w:t>支持</w:t>
      </w:r>
      <w:r>
        <w:rPr>
          <w:rFonts w:hint="eastAsia" w:ascii="仿宋_GB2312" w:hAnsi="仿宋_GB2312" w:eastAsia="仿宋_GB2312" w:cs="仿宋_GB2312"/>
          <w:sz w:val="32"/>
          <w:szCs w:val="32"/>
          <w:highlight w:val="none"/>
          <w:u w:val="none"/>
        </w:rPr>
        <w:t>地方政府开展</w:t>
      </w:r>
      <w:r>
        <w:rPr>
          <w:rFonts w:hint="eastAsia" w:ascii="仿宋_GB2312" w:hAnsi="仿宋_GB2312" w:eastAsia="仿宋_GB2312" w:cs="仿宋_GB2312"/>
          <w:sz w:val="32"/>
          <w:szCs w:val="32"/>
          <w:highlight w:val="none"/>
          <w:u w:val="none"/>
          <w:lang w:eastAsia="zh-CN"/>
        </w:rPr>
        <w:t>突发环境事件应急响应和处置工作；参加县指挥部</w:t>
      </w:r>
      <w:r>
        <w:rPr>
          <w:rFonts w:hint="eastAsia" w:ascii="仿宋_GB2312" w:hAnsi="仿宋_GB2312" w:eastAsia="仿宋_GB2312" w:cs="仿宋_GB2312"/>
          <w:sz w:val="32"/>
          <w:szCs w:val="32"/>
          <w:highlight w:val="none"/>
          <w:u w:val="none"/>
        </w:rPr>
        <w:t>综合协调、污染处置、调查评估</w:t>
      </w:r>
      <w:r>
        <w:rPr>
          <w:rFonts w:hint="eastAsia" w:ascii="仿宋_GB2312" w:hAnsi="仿宋_GB2312" w:eastAsia="仿宋_GB2312" w:cs="仿宋_GB2312"/>
          <w:sz w:val="32"/>
          <w:szCs w:val="32"/>
          <w:highlight w:val="none"/>
          <w:u w:val="none"/>
          <w:lang w:eastAsia="zh-CN"/>
        </w:rPr>
        <w:t>等</w:t>
      </w:r>
      <w:r>
        <w:rPr>
          <w:rFonts w:hint="eastAsia" w:ascii="仿宋_GB2312" w:hAnsi="仿宋_GB2312" w:eastAsia="仿宋_GB2312" w:cs="仿宋_GB2312"/>
          <w:sz w:val="32"/>
          <w:szCs w:val="32"/>
          <w:highlight w:val="none"/>
          <w:u w:val="none"/>
        </w:rPr>
        <w:t>工作组。</w:t>
      </w:r>
      <w:r>
        <w:rPr>
          <w:rFonts w:hint="eastAsia" w:ascii="仿宋_GB2312" w:hAnsi="仿宋_GB2312" w:eastAsia="仿宋_GB2312" w:cs="仿宋_GB2312"/>
          <w:sz w:val="32"/>
          <w:szCs w:val="32"/>
          <w:highlight w:val="none"/>
          <w:u w:val="none"/>
          <w:lang w:eastAsia="zh-CN"/>
        </w:rPr>
        <w:t>承担</w:t>
      </w:r>
      <w:r>
        <w:rPr>
          <w:rFonts w:hint="eastAsia" w:ascii="仿宋_GB2312" w:hAnsi="仿宋_GB2312" w:eastAsia="仿宋_GB2312" w:cs="仿宋_GB2312"/>
          <w:b w:val="0"/>
          <w:sz w:val="32"/>
          <w:szCs w:val="32"/>
          <w:highlight w:val="none"/>
          <w:u w:val="none"/>
          <w:lang w:eastAsia="zh-CN"/>
        </w:rPr>
        <w:t>局</w:t>
      </w:r>
      <w:r>
        <w:rPr>
          <w:rFonts w:hint="eastAsia" w:ascii="仿宋_GB2312" w:hAnsi="仿宋_GB2312" w:eastAsia="仿宋_GB2312" w:cs="仿宋_GB2312"/>
          <w:b w:val="0"/>
          <w:sz w:val="32"/>
          <w:szCs w:val="32"/>
          <w:highlight w:val="none"/>
          <w:u w:val="none"/>
        </w:rPr>
        <w:t>应急领导小组</w:t>
      </w:r>
      <w:r>
        <w:rPr>
          <w:rFonts w:hint="eastAsia" w:ascii="仿宋_GB2312" w:hAnsi="仿宋_GB2312" w:eastAsia="仿宋_GB2312" w:cs="仿宋_GB2312"/>
          <w:b w:val="0"/>
          <w:sz w:val="32"/>
          <w:szCs w:val="32"/>
          <w:highlight w:val="none"/>
          <w:u w:val="none"/>
          <w:lang w:eastAsia="zh-CN"/>
        </w:rPr>
        <w:t>办公室工作职责。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b w:val="0"/>
          <w:bCs w:val="0"/>
          <w:sz w:val="32"/>
          <w:szCs w:val="32"/>
          <w:highlight w:val="none"/>
          <w:u w:val="none"/>
          <w:lang w:eastAsia="zh-CN"/>
        </w:rPr>
        <w:t>黄山市歙县生态环境执法监测站：</w:t>
      </w:r>
      <w:r>
        <w:rPr>
          <w:rFonts w:hint="eastAsia" w:ascii="仿宋_GB2312" w:hAnsi="仿宋_GB2312" w:eastAsia="仿宋_GB2312" w:cs="仿宋_GB2312"/>
          <w:sz w:val="32"/>
          <w:szCs w:val="32"/>
          <w:highlight w:val="none"/>
          <w:u w:val="none"/>
          <w:lang w:eastAsia="zh-CN"/>
        </w:rPr>
        <w:t>负责组织实施辖区环境质量监测、委托性监测、监督性监测、应急监测工作；开展预警监测、应急监测工作；组织分析监测数据，确定污染范围和程度，报告监测结果；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b w:val="0"/>
          <w:bCs w:val="0"/>
          <w:sz w:val="32"/>
          <w:szCs w:val="32"/>
          <w:highlight w:val="none"/>
          <w:u w:val="none"/>
          <w:lang w:eastAsia="zh-CN"/>
        </w:rPr>
        <w:t>组织开展全县生态环境执法监测工作，包括部分环境质量监测、考核监测、突发生态环境事件应急监测；协助开展全县生态环境监测网络建设，配合建立生态环境预警体系。</w:t>
      </w:r>
      <w:r>
        <w:rPr>
          <w:rFonts w:hint="eastAsia" w:ascii="仿宋_GB2312" w:hAnsi="仿宋_GB2312" w:eastAsia="仿宋_GB2312" w:cs="仿宋_GB2312"/>
          <w:sz w:val="32"/>
          <w:szCs w:val="32"/>
          <w:highlight w:val="none"/>
          <w:u w:val="none"/>
        </w:rPr>
        <w:t>参加</w:t>
      </w:r>
      <w:r>
        <w:rPr>
          <w:rFonts w:hint="eastAsia" w:ascii="仿宋_GB2312" w:hAnsi="仿宋_GB2312" w:eastAsia="仿宋_GB2312" w:cs="仿宋_GB2312"/>
          <w:sz w:val="32"/>
          <w:szCs w:val="32"/>
          <w:highlight w:val="none"/>
          <w:u w:val="none"/>
          <w:lang w:eastAsia="zh-CN"/>
        </w:rPr>
        <w:t>县</w:t>
      </w:r>
      <w:r>
        <w:rPr>
          <w:rFonts w:hint="eastAsia" w:ascii="仿宋_GB2312" w:hAnsi="仿宋_GB2312" w:eastAsia="仿宋_GB2312" w:cs="仿宋_GB2312"/>
          <w:sz w:val="32"/>
          <w:szCs w:val="32"/>
          <w:highlight w:val="none"/>
          <w:u w:val="none"/>
        </w:rPr>
        <w:t>指挥部应急监测等工作组。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b w:val="0"/>
          <w:bCs w:val="0"/>
          <w:sz w:val="32"/>
          <w:szCs w:val="32"/>
          <w:highlight w:val="none"/>
          <w:u w:val="none"/>
          <w:lang w:eastAsia="zh-CN"/>
        </w:rPr>
        <w:t>污染控制股：</w:t>
      </w:r>
      <w:r>
        <w:rPr>
          <w:rFonts w:hint="eastAsia" w:ascii="仿宋_GB2312" w:hAnsi="仿宋_GB2312" w:eastAsia="仿宋_GB2312" w:cs="仿宋_GB2312"/>
          <w:sz w:val="32"/>
          <w:szCs w:val="32"/>
          <w:highlight w:val="none"/>
          <w:u w:val="none"/>
          <w:lang w:eastAsia="zh-CN"/>
        </w:rPr>
        <w:t>组织实施跨界水体污染联防联控，负责跨界水污染纠纷调处工作；参加涉及水污染的突发环境事件应急处置和调查评估工作；指导事件后的水环境综合整治和修复工作。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lang w:eastAsia="zh-CN"/>
        </w:rPr>
        <w:t>组织实施区域大气污染联控；参加涉及大气污染的突发环境事件应急处置和调查评估工作。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sz w:val="32"/>
          <w:szCs w:val="32"/>
          <w:highlight w:val="none"/>
          <w:u w:val="none"/>
          <w:lang w:eastAsia="zh-CN"/>
        </w:rPr>
        <w:t>组织实施固体废物和危险废物联防联治；参加涉及固体废物、化学品、重金属、尾矿库等污染的突发环境事件应急处置和调查评估工作；指导</w:t>
      </w:r>
      <w:r>
        <w:rPr>
          <w:rFonts w:hint="eastAsia" w:ascii="仿宋_GB2312" w:hAnsi="仿宋_GB2312" w:eastAsia="仿宋_GB2312" w:cs="仿宋_GB2312"/>
          <w:sz w:val="32"/>
          <w:szCs w:val="32"/>
          <w:highlight w:val="none"/>
          <w:u w:val="none"/>
        </w:rPr>
        <w:t>突发环境事件产生危险废物的处理处置工作</w:t>
      </w:r>
      <w:r>
        <w:rPr>
          <w:rFonts w:hint="eastAsia" w:ascii="仿宋_GB2312" w:hAnsi="仿宋_GB2312" w:eastAsia="仿宋_GB2312" w:cs="仿宋_GB2312"/>
          <w:sz w:val="32"/>
          <w:szCs w:val="32"/>
          <w:highlight w:val="none"/>
          <w:u w:val="none"/>
          <w:lang w:eastAsia="zh-CN"/>
        </w:rPr>
        <w:t>；参加县指挥部污染处置</w:t>
      </w:r>
      <w:r>
        <w:rPr>
          <w:rFonts w:hint="eastAsia" w:ascii="仿宋_GB2312" w:hAnsi="仿宋_GB2312" w:eastAsia="仿宋_GB2312" w:cs="仿宋_GB2312"/>
          <w:sz w:val="32"/>
          <w:szCs w:val="32"/>
          <w:highlight w:val="none"/>
          <w:u w:val="none"/>
          <w:lang w:val="en-US" w:eastAsia="zh-CN"/>
        </w:rPr>
        <w:t>和</w:t>
      </w:r>
      <w:r>
        <w:rPr>
          <w:rFonts w:hint="eastAsia" w:ascii="仿宋_GB2312" w:hAnsi="仿宋_GB2312" w:eastAsia="仿宋_GB2312" w:cs="仿宋_GB2312"/>
          <w:color w:val="000000"/>
          <w:sz w:val="32"/>
          <w:szCs w:val="32"/>
          <w:highlight w:val="none"/>
          <w:lang w:val="en-US" w:eastAsia="zh-CN"/>
        </w:rPr>
        <w:t>调查评估等</w:t>
      </w:r>
      <w:r>
        <w:rPr>
          <w:rFonts w:hint="eastAsia" w:ascii="仿宋_GB2312" w:hAnsi="仿宋_GB2312" w:eastAsia="仿宋_GB2312" w:cs="仿宋_GB2312"/>
          <w:sz w:val="32"/>
          <w:szCs w:val="32"/>
          <w:highlight w:val="none"/>
          <w:u w:val="none"/>
          <w:lang w:val="en-US" w:eastAsia="zh-CN"/>
        </w:rPr>
        <w:t>工作组</w:t>
      </w:r>
      <w:r>
        <w:rPr>
          <w:rFonts w:hint="eastAsia" w:ascii="仿宋_GB2312" w:hAnsi="仿宋_GB2312" w:eastAsia="仿宋_GB2312" w:cs="仿宋_GB2312"/>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u w:val="none"/>
          <w:lang w:eastAsia="zh-CN"/>
        </w:rPr>
      </w:pPr>
      <w:r>
        <w:rPr>
          <w:rFonts w:hint="eastAsia" w:ascii="仿宋_GB2312" w:hAnsi="仿宋_GB2312" w:eastAsia="仿宋_GB2312" w:cs="仿宋_GB2312"/>
          <w:b w:val="0"/>
          <w:bCs w:val="0"/>
          <w:sz w:val="32"/>
          <w:szCs w:val="32"/>
          <w:highlight w:val="none"/>
          <w:u w:val="none"/>
          <w:lang w:val="en-US" w:eastAsia="zh-CN"/>
        </w:rPr>
        <w:t>环评</w:t>
      </w:r>
      <w:r>
        <w:rPr>
          <w:rFonts w:hint="eastAsia" w:ascii="仿宋_GB2312" w:hAnsi="仿宋_GB2312" w:eastAsia="仿宋_GB2312" w:cs="仿宋_GB2312"/>
          <w:b w:val="0"/>
          <w:bCs w:val="0"/>
          <w:sz w:val="32"/>
          <w:szCs w:val="32"/>
          <w:highlight w:val="none"/>
          <w:u w:val="none"/>
          <w:lang w:eastAsia="zh-CN"/>
        </w:rPr>
        <w:t>股：</w:t>
      </w:r>
      <w:r>
        <w:rPr>
          <w:rFonts w:hint="eastAsia" w:ascii="仿宋_GB2312" w:hAnsi="仿宋_GB2312" w:eastAsia="仿宋_GB2312" w:cs="仿宋_GB2312"/>
          <w:sz w:val="32"/>
          <w:szCs w:val="32"/>
          <w:highlight w:val="none"/>
          <w:u w:val="none"/>
          <w:lang w:eastAsia="zh-CN"/>
        </w:rPr>
        <w:t>参加突发环境事件调查评估工作；参加涉及土壤污染的突发环境事件应急处置和调查评估工作；指导事件后的土壤环境修复工作；协调提供涉及突发环境事件的建设项目的相关环评、排污许可等文件。</w:t>
      </w:r>
      <w:r>
        <w:rPr>
          <w:rFonts w:hint="eastAsia" w:ascii="仿宋_GB2312" w:hAnsi="仿宋_GB2312" w:eastAsia="仿宋_GB2312" w:cs="仿宋_GB2312"/>
          <w:sz w:val="32"/>
          <w:szCs w:val="32"/>
          <w:highlight w:val="none"/>
          <w:u w:val="none"/>
          <w:lang w:val="en-US" w:eastAsia="zh-CN"/>
        </w:rPr>
        <w:t>突发环境事件发生后，做好分局系统后勤保障工作</w:t>
      </w:r>
      <w:r>
        <w:rPr>
          <w:rFonts w:hint="eastAsia" w:ascii="仿宋_GB2312" w:hAnsi="仿宋_GB2312" w:eastAsia="仿宋_GB2312" w:cs="仿宋_GB2312"/>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u w:val="none"/>
          <w:lang w:eastAsia="zh-CN"/>
        </w:rPr>
      </w:pPr>
    </w:p>
    <w:p>
      <w:pPr>
        <w:keepNext w:val="0"/>
        <w:keepLines w:val="0"/>
        <w:pageBreakBefore w:val="0"/>
        <w:kinsoku/>
        <w:overflowPunct/>
        <w:topLinePunct w:val="0"/>
        <w:autoSpaceDE/>
        <w:autoSpaceDN/>
        <w:bidi w:val="0"/>
        <w:spacing w:line="560" w:lineRule="exact"/>
        <w:textAlignment w:val="auto"/>
        <w:rPr>
          <w:rFonts w:hint="eastAsia" w:ascii="仿宋_GB2312" w:hAnsi="仿宋_GB2312" w:eastAsia="仿宋_GB2312" w:cs="仿宋_GB2312"/>
          <w:b w:val="0"/>
          <w:bCs w:val="0"/>
          <w:kern w:val="0"/>
          <w:sz w:val="32"/>
          <w:szCs w:val="32"/>
          <w:u w:val="none"/>
          <w:lang w:val="en-US" w:eastAsia="zh-CN"/>
        </w:rPr>
      </w:pPr>
      <w:r>
        <w:rPr>
          <w:rFonts w:hint="eastAsia" w:ascii="仿宋_GB2312" w:hAnsi="仿宋_GB2312" w:eastAsia="仿宋_GB2312" w:cs="仿宋_GB2312"/>
          <w:sz w:val="32"/>
          <w:szCs w:val="32"/>
          <w:u w:val="none"/>
        </w:rPr>
        <w:br w:type="page"/>
      </w:r>
      <w:bookmarkStart w:id="331" w:name="_Toc10704"/>
      <w:bookmarkStart w:id="332" w:name="_Toc756"/>
      <w:r>
        <w:rPr>
          <w:rFonts w:hint="eastAsia" w:ascii="仿宋_GB2312" w:hAnsi="仿宋_GB2312" w:eastAsia="仿宋_GB2312" w:cs="仿宋_GB2312"/>
          <w:b w:val="0"/>
          <w:bCs w:val="0"/>
          <w:kern w:val="0"/>
          <w:sz w:val="32"/>
          <w:szCs w:val="32"/>
          <w:u w:val="none"/>
        </w:rPr>
        <w:t>附件</w:t>
      </w:r>
      <w:bookmarkEnd w:id="331"/>
      <w:bookmarkEnd w:id="332"/>
      <w:r>
        <w:rPr>
          <w:rFonts w:hint="eastAsia" w:ascii="仿宋_GB2312" w:hAnsi="仿宋_GB2312" w:eastAsia="仿宋_GB2312" w:cs="仿宋_GB2312"/>
          <w:b w:val="0"/>
          <w:bCs w:val="0"/>
          <w:kern w:val="0"/>
          <w:sz w:val="32"/>
          <w:szCs w:val="32"/>
          <w:u w:val="none"/>
          <w:lang w:val="en-US" w:eastAsia="zh-CN"/>
        </w:rPr>
        <w:t>3</w:t>
      </w:r>
    </w:p>
    <w:p>
      <w:pPr>
        <w:keepNext w:val="0"/>
        <w:keepLines w:val="0"/>
        <w:pageBreakBefore w:val="0"/>
        <w:kinsoku/>
        <w:overflowPunct/>
        <w:topLinePunct w:val="0"/>
        <w:autoSpaceDE/>
        <w:autoSpaceDN/>
        <w:bidi w:val="0"/>
        <w:spacing w:line="560" w:lineRule="exact"/>
        <w:jc w:val="left"/>
        <w:textAlignment w:val="auto"/>
        <w:rPr>
          <w:rFonts w:hint="eastAsia" w:ascii="仿宋_GB2312" w:hAnsi="仿宋_GB2312" w:eastAsia="仿宋_GB2312" w:cs="仿宋_GB2312"/>
          <w:kern w:val="0"/>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b/>
          <w:bCs/>
          <w:sz w:val="44"/>
          <w:szCs w:val="44"/>
          <w:lang w:val="en-US" w:eastAsia="zh-CN"/>
        </w:rPr>
      </w:pPr>
      <w:bookmarkStart w:id="333" w:name="_Toc29563_WPSOffice_Level1"/>
      <w:bookmarkStart w:id="334" w:name="_Toc22618_WPSOffice_Level1"/>
      <w:bookmarkStart w:id="335" w:name="_Toc16584_WPSOffice_Level1"/>
      <w:bookmarkStart w:id="336" w:name="_Toc20985_WPSOffice_Level1"/>
      <w:bookmarkStart w:id="337" w:name="_Toc6104_WPSOffice_Level1"/>
      <w:bookmarkStart w:id="338" w:name="_Toc20961_WPSOffice_Level1"/>
      <w:r>
        <w:rPr>
          <w:rFonts w:hint="eastAsia" w:ascii="方正小标宋_GBK" w:hAnsi="方正小标宋_GBK" w:eastAsia="方正小标宋_GBK" w:cs="方正小标宋_GBK"/>
          <w:b/>
          <w:bCs/>
          <w:sz w:val="44"/>
          <w:szCs w:val="44"/>
          <w:lang w:val="en-US" w:eastAsia="zh-CN"/>
        </w:rPr>
        <w:t>突发生态环境事件预警分级标准</w:t>
      </w:r>
      <w:bookmarkEnd w:id="333"/>
      <w:bookmarkEnd w:id="334"/>
      <w:bookmarkEnd w:id="335"/>
      <w:bookmarkEnd w:id="336"/>
      <w:bookmarkEnd w:id="337"/>
      <w:bookmarkEnd w:id="338"/>
    </w:p>
    <w:p>
      <w:pPr>
        <w:keepNext w:val="0"/>
        <w:keepLines w:val="0"/>
        <w:pageBreakBefore w:val="0"/>
        <w:widowControl w:val="0"/>
        <w:kinsoku/>
        <w:wordWrap/>
        <w:overflowPunct/>
        <w:topLinePunct w:val="0"/>
        <w:autoSpaceDE/>
        <w:autoSpaceDN/>
        <w:bidi w:val="0"/>
        <w:adjustRightInd/>
        <w:snapToGrid/>
        <w:spacing w:line="560" w:lineRule="exact"/>
        <w:ind w:firstLine="803" w:firstLineChars="200"/>
        <w:jc w:val="center"/>
        <w:textAlignment w:val="auto"/>
        <w:rPr>
          <w:rFonts w:hint="eastAsia" w:ascii="仿宋_GB2312" w:hAnsi="仿宋_GB2312" w:eastAsia="仿宋_GB2312" w:cs="仿宋_GB2312"/>
          <w:b/>
          <w:bCs/>
          <w:sz w:val="40"/>
          <w:szCs w:val="40"/>
          <w:lang w:val="en-US" w:eastAsia="zh-CN"/>
        </w:rPr>
      </w:pPr>
    </w:p>
    <w:p>
      <w:pPr>
        <w:keepNext w:val="0"/>
        <w:keepLines w:val="0"/>
        <w:pageBreakBefore w:val="0"/>
        <w:kinsoku/>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一、对情况危急，预计可能发生或引发特别重大突发环境事件的；或事件已经发生，可能进一步扩大影响范围，造成特别重大危害的事件，视情确定突发环境事件预警级别为一级（红色）；</w:t>
      </w:r>
    </w:p>
    <w:p>
      <w:pPr>
        <w:keepNext w:val="0"/>
        <w:keepLines w:val="0"/>
        <w:pageBreakBefore w:val="0"/>
        <w:kinsoku/>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二、对情况紧急，预计可能发生或引发重大突发环境事件的；或事件已经发生，可能进一步扩大影响范围，造成重大危害的事件，视情确定突发环境事件预警级别为二级（橙色）；</w:t>
      </w:r>
    </w:p>
    <w:p>
      <w:pPr>
        <w:keepNext w:val="0"/>
        <w:keepLines w:val="0"/>
        <w:pageBreakBefore w:val="0"/>
        <w:kinsoku/>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三、对情况比较紧急，预计可能发生或引发较大突发环境事件的；或事件已经发生，可能进一步扩大影响范围，造成较大危害的事件，视情确定突发环境事件预警级别为三级（黄色）；</w:t>
      </w:r>
      <w:bookmarkStart w:id="339" w:name="_Toc21721"/>
      <w:bookmarkStart w:id="340" w:name="_Toc20754"/>
      <w:bookmarkStart w:id="341" w:name="_Toc32057"/>
    </w:p>
    <w:p>
      <w:pPr>
        <w:keepNext w:val="0"/>
        <w:keepLines w:val="0"/>
        <w:pageBreakBefore w:val="0"/>
        <w:kinsoku/>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四、对存在重大环境安全隐患，预计可能发生或引发一般突发环境事件的；或事件已经发生，可能进一步扩大影响范围，造成公共危害的事件，视情确定突发环境事件预警级别为四级（蓝色）。</w:t>
      </w:r>
      <w:bookmarkEnd w:id="339"/>
      <w:bookmarkEnd w:id="340"/>
      <w:bookmarkEnd w:id="341"/>
    </w:p>
    <w:p>
      <w:pPr>
        <w:keepNext w:val="0"/>
        <w:keepLines w:val="0"/>
        <w:pageBreakBefore w:val="0"/>
        <w:kinsoku/>
        <w:overflowPunct/>
        <w:topLinePunct w:val="0"/>
        <w:autoSpaceDE/>
        <w:autoSpaceDN/>
        <w:bidi w:val="0"/>
        <w:spacing w:line="560" w:lineRule="exact"/>
        <w:textAlignment w:val="auto"/>
        <w:rPr>
          <w:rFonts w:hint="eastAsia" w:ascii="仿宋_GB2312" w:hAnsi="仿宋_GB2312" w:eastAsia="仿宋_GB2312" w:cs="仿宋_GB2312"/>
          <w:b w:val="0"/>
          <w:bCs w:val="0"/>
          <w:kern w:val="0"/>
          <w:sz w:val="32"/>
          <w:szCs w:val="32"/>
          <w:u w:val="none"/>
          <w:lang w:val="en-US" w:eastAsia="zh-CN"/>
        </w:rPr>
      </w:pPr>
      <w:r>
        <w:rPr>
          <w:rFonts w:hint="eastAsia" w:ascii="仿宋_GB2312" w:hAnsi="仿宋_GB2312" w:eastAsia="仿宋_GB2312" w:cs="仿宋_GB2312"/>
          <w:sz w:val="36"/>
          <w:szCs w:val="36"/>
          <w:u w:val="none"/>
        </w:rPr>
        <w:br w:type="page"/>
      </w:r>
      <w:bookmarkStart w:id="342" w:name="_Toc1693"/>
      <w:bookmarkStart w:id="343" w:name="_Toc3640"/>
      <w:r>
        <w:rPr>
          <w:rFonts w:hint="eastAsia" w:ascii="仿宋_GB2312" w:hAnsi="仿宋_GB2312" w:eastAsia="仿宋_GB2312" w:cs="仿宋_GB2312"/>
          <w:b w:val="0"/>
          <w:bCs w:val="0"/>
          <w:kern w:val="0"/>
          <w:sz w:val="28"/>
          <w:szCs w:val="28"/>
          <w:u w:val="none"/>
        </w:rPr>
        <w:t>附件</w:t>
      </w:r>
      <w:bookmarkEnd w:id="342"/>
      <w:bookmarkEnd w:id="343"/>
      <w:r>
        <w:rPr>
          <w:rFonts w:hint="eastAsia" w:ascii="仿宋_GB2312" w:hAnsi="仿宋_GB2312" w:eastAsia="仿宋_GB2312" w:cs="仿宋_GB2312"/>
          <w:b w:val="0"/>
          <w:bCs w:val="0"/>
          <w:kern w:val="0"/>
          <w:sz w:val="28"/>
          <w:szCs w:val="28"/>
          <w:u w:val="none"/>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val="0"/>
          <w:sz w:val="40"/>
          <w:szCs w:val="40"/>
          <w:lang w:val="en-US" w:eastAsia="zh-CN"/>
        </w:rPr>
      </w:pPr>
      <w:bookmarkStart w:id="344" w:name="_Toc28958_WPSOffice_Level1"/>
      <w:bookmarkStart w:id="345" w:name="_Toc7535_WPSOffice_Level1"/>
      <w:bookmarkStart w:id="346" w:name="_Toc31421_WPSOffice_Level1"/>
      <w:bookmarkStart w:id="347" w:name="_Toc20513_WPSOffice_Level1"/>
      <w:bookmarkStart w:id="348" w:name="_Toc22184_WPSOffice_Level1"/>
      <w:bookmarkStart w:id="349" w:name="_Toc6907_WPSOffice_Level1"/>
      <w:r>
        <w:rPr>
          <w:rFonts w:hint="eastAsia" w:ascii="方正小标宋_GBK" w:hAnsi="方正小标宋_GBK" w:eastAsia="方正小标宋_GBK" w:cs="方正小标宋_GBK"/>
          <w:b w:val="0"/>
          <w:bCs w:val="0"/>
          <w:sz w:val="40"/>
          <w:szCs w:val="40"/>
          <w:lang w:val="en-US" w:eastAsia="zh-CN"/>
        </w:rPr>
        <w:t>歙县突发生态环境事件预警发布</w:t>
      </w:r>
      <w:bookmarkEnd w:id="344"/>
      <w:r>
        <w:rPr>
          <w:rFonts w:hint="eastAsia" w:ascii="方正小标宋_GBK" w:hAnsi="方正小标宋_GBK" w:eastAsia="方正小标宋_GBK" w:cs="方正小标宋_GBK"/>
          <w:b w:val="0"/>
          <w:bCs w:val="0"/>
          <w:sz w:val="40"/>
          <w:szCs w:val="40"/>
          <w:lang w:val="en-US" w:eastAsia="zh-CN"/>
        </w:rPr>
        <w:t>（调整</w:t>
      </w:r>
      <w:bookmarkEnd w:id="345"/>
      <w:bookmarkEnd w:id="346"/>
      <w:bookmarkEnd w:id="347"/>
      <w:bookmarkEnd w:id="348"/>
      <w:r>
        <w:rPr>
          <w:rFonts w:hint="eastAsia" w:ascii="方正小标宋_GBK" w:hAnsi="方正小标宋_GBK" w:eastAsia="方正小标宋_GBK" w:cs="方正小标宋_GBK"/>
          <w:b w:val="0"/>
          <w:bCs w:val="0"/>
          <w:sz w:val="40"/>
          <w:szCs w:val="40"/>
          <w:lang w:val="en-US" w:eastAsia="zh-CN"/>
        </w:rPr>
        <w:t>、解除）</w:t>
      </w:r>
      <w:bookmarkEnd w:id="349"/>
      <w:bookmarkStart w:id="350" w:name="_Toc31966_WPSOffice_Level1"/>
      <w:bookmarkStart w:id="351" w:name="_Toc26485_WPSOffice_Level1"/>
      <w:bookmarkStart w:id="352" w:name="_Toc9170_WPSOffice_Level1"/>
      <w:bookmarkStart w:id="353" w:name="_Toc9180_WPSOffice_Level1"/>
      <w:bookmarkStart w:id="354" w:name="_Toc19127_WPSOffice_Level1"/>
      <w:bookmarkStart w:id="355" w:name="_Toc29609_WPSOffice_Level1"/>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val="0"/>
          <w:sz w:val="40"/>
          <w:szCs w:val="40"/>
          <w:u w:val="none"/>
        </w:rPr>
      </w:pPr>
      <w:r>
        <w:rPr>
          <w:rFonts w:hint="eastAsia" w:ascii="方正小标宋_GBK" w:hAnsi="方正小标宋_GBK" w:eastAsia="方正小标宋_GBK" w:cs="方正小标宋_GBK"/>
          <w:b w:val="0"/>
          <w:bCs w:val="0"/>
          <w:sz w:val="40"/>
          <w:szCs w:val="40"/>
          <w:lang w:val="en-US" w:eastAsia="zh-CN"/>
        </w:rPr>
        <w:t>审批表</w:t>
      </w:r>
      <w:bookmarkEnd w:id="350"/>
      <w:bookmarkEnd w:id="351"/>
      <w:bookmarkEnd w:id="352"/>
      <w:bookmarkEnd w:id="353"/>
      <w:bookmarkEnd w:id="354"/>
      <w:bookmarkEnd w:id="355"/>
    </w:p>
    <w:p>
      <w:pPr>
        <w:keepNext w:val="0"/>
        <w:keepLines w:val="0"/>
        <w:pageBreakBefore w:val="0"/>
        <w:kinsoku/>
        <w:overflowPunct/>
        <w:topLinePunct w:val="0"/>
        <w:autoSpaceDE/>
        <w:autoSpaceDN/>
        <w:bidi w:val="0"/>
        <w:spacing w:line="560" w:lineRule="exact"/>
        <w:jc w:val="center"/>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 xml:space="preserve">                                          </w:t>
      </w:r>
      <w:bookmarkStart w:id="356" w:name="_Toc6582_WPSOffice_Level2"/>
      <w:bookmarkStart w:id="357" w:name="_Toc19656_WPSOffice_Level2"/>
      <w:bookmarkStart w:id="358" w:name="_Toc1872_WPSOffice_Level2"/>
      <w:bookmarkStart w:id="359" w:name="_Toc3911_WPSOffice_Level2"/>
      <w:bookmarkStart w:id="360" w:name="_Toc12673_WPSOffice_Level2"/>
      <w:bookmarkStart w:id="361" w:name="_Toc12032_WPSOffice_Level2"/>
      <w:r>
        <w:rPr>
          <w:rFonts w:hint="eastAsia" w:ascii="仿宋_GB2312" w:hAnsi="仿宋_GB2312" w:eastAsia="仿宋_GB2312" w:cs="仿宋_GB2312"/>
          <w:sz w:val="28"/>
          <w:szCs w:val="28"/>
          <w:u w:val="none"/>
        </w:rPr>
        <w:t>年</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u w:val="none"/>
        </w:rPr>
        <w:t xml:space="preserve"> 月</w:t>
      </w:r>
      <w:r>
        <w:rPr>
          <w:rFonts w:hint="eastAsia" w:ascii="仿宋_GB2312" w:hAnsi="仿宋_GB2312" w:eastAsia="仿宋_GB2312" w:cs="仿宋_GB2312"/>
          <w:sz w:val="28"/>
          <w:szCs w:val="28"/>
          <w:u w:val="none"/>
          <w:lang w:val="en-US" w:eastAsia="zh-CN"/>
        </w:rPr>
        <w:t xml:space="preserve">  </w:t>
      </w:r>
      <w:r>
        <w:rPr>
          <w:rFonts w:hint="eastAsia" w:ascii="仿宋_GB2312" w:hAnsi="仿宋_GB2312" w:eastAsia="仿宋_GB2312" w:cs="仿宋_GB2312"/>
          <w:sz w:val="28"/>
          <w:szCs w:val="28"/>
          <w:u w:val="none"/>
        </w:rPr>
        <w:t xml:space="preserve"> 日</w:t>
      </w:r>
      <w:bookmarkEnd w:id="356"/>
      <w:bookmarkEnd w:id="357"/>
      <w:bookmarkEnd w:id="358"/>
      <w:bookmarkEnd w:id="359"/>
      <w:bookmarkEnd w:id="360"/>
      <w:bookmarkEnd w:id="361"/>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66"/>
        <w:gridCol w:w="68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1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lang w:eastAsia="zh-CN"/>
              </w:rPr>
              <w:t>预警</w:t>
            </w:r>
            <w:r>
              <w:rPr>
                <w:rFonts w:hint="eastAsia" w:ascii="仿宋_GB2312" w:hAnsi="仿宋_GB2312" w:eastAsia="仿宋_GB2312" w:cs="仿宋_GB2312"/>
                <w:sz w:val="24"/>
                <w:szCs w:val="24"/>
                <w:u w:val="none"/>
              </w:rPr>
              <w:t>名称</w:t>
            </w:r>
          </w:p>
        </w:tc>
        <w:tc>
          <w:tcPr>
            <w:tcW w:w="68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lang w:eastAsia="zh-CN"/>
              </w:rPr>
              <w:t>歙县</w:t>
            </w:r>
            <w:r>
              <w:rPr>
                <w:rFonts w:hint="eastAsia" w:ascii="仿宋_GB2312" w:hAnsi="仿宋_GB2312" w:eastAsia="仿宋_GB2312" w:cs="仿宋_GB2312"/>
                <w:sz w:val="24"/>
                <w:szCs w:val="24"/>
                <w:u w:val="none"/>
              </w:rPr>
              <w:t>突发环境事件  级预警（  色预警）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7" w:hRule="atLeast"/>
          <w:jc w:val="center"/>
        </w:trPr>
        <w:tc>
          <w:tcPr>
            <w:tcW w:w="1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预警级别</w:t>
            </w:r>
          </w:p>
        </w:tc>
        <w:tc>
          <w:tcPr>
            <w:tcW w:w="68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u w:val="none"/>
              </w:rPr>
              <w:t>一级</w:t>
            </w:r>
            <w:r>
              <w:rPr>
                <w:rFonts w:hint="eastAsia" w:ascii="仿宋_GB2312" w:hAnsi="仿宋_GB2312" w:eastAsia="仿宋_GB2312" w:cs="仿宋_GB2312"/>
                <w:sz w:val="24"/>
                <w:szCs w:val="24"/>
                <w:u w:val="none"/>
                <w:lang w:eastAsia="zh-CN"/>
              </w:rPr>
              <w:t>□</w:t>
            </w:r>
            <w:r>
              <w:rPr>
                <w:rFonts w:hint="eastAsia" w:ascii="仿宋_GB2312" w:hAnsi="仿宋_GB2312" w:eastAsia="仿宋_GB2312" w:cs="仿宋_GB2312"/>
                <w:sz w:val="24"/>
                <w:szCs w:val="24"/>
                <w:u w:val="none"/>
              </w:rPr>
              <w:t xml:space="preserve">   二级</w:t>
            </w:r>
            <w:r>
              <w:rPr>
                <w:rFonts w:hint="eastAsia" w:ascii="仿宋_GB2312" w:hAnsi="仿宋_GB2312" w:eastAsia="仿宋_GB2312" w:cs="仿宋_GB2312"/>
                <w:sz w:val="24"/>
                <w:szCs w:val="24"/>
                <w:u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lang w:eastAsia="zh-CN"/>
              </w:rPr>
              <w:t>发布</w:t>
            </w:r>
            <w:r>
              <w:rPr>
                <w:rFonts w:hint="eastAsia" w:ascii="仿宋_GB2312" w:hAnsi="仿宋_GB2312" w:eastAsia="仿宋_GB2312" w:cs="仿宋_GB2312"/>
                <w:sz w:val="24"/>
                <w:szCs w:val="24"/>
                <w:u w:val="none"/>
              </w:rPr>
              <w:t>（</w:t>
            </w:r>
            <w:r>
              <w:rPr>
                <w:rFonts w:hint="eastAsia" w:ascii="仿宋_GB2312" w:hAnsi="仿宋_GB2312" w:eastAsia="仿宋_GB2312" w:cs="仿宋_GB2312"/>
                <w:sz w:val="24"/>
                <w:szCs w:val="24"/>
                <w:u w:val="none"/>
                <w:lang w:eastAsia="zh-CN"/>
              </w:rPr>
              <w:t>调整、解除</w:t>
            </w:r>
            <w:r>
              <w:rPr>
                <w:rFonts w:hint="eastAsia" w:ascii="仿宋_GB2312" w:hAnsi="仿宋_GB2312" w:eastAsia="仿宋_GB2312" w:cs="仿宋_GB2312"/>
                <w:sz w:val="24"/>
                <w:szCs w:val="24"/>
                <w:u w:val="none"/>
              </w:rPr>
              <w:t>）预警时间</w:t>
            </w:r>
          </w:p>
        </w:tc>
        <w:tc>
          <w:tcPr>
            <w:tcW w:w="68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ind w:firstLine="720" w:firstLineChars="300"/>
              <w:jc w:val="center"/>
              <w:textAlignment w:val="auto"/>
              <w:rPr>
                <w:rFonts w:hint="eastAsia" w:ascii="仿宋_GB2312" w:hAnsi="仿宋_GB2312" w:eastAsia="仿宋_GB2312" w:cs="仿宋_GB2312"/>
                <w:kern w:val="0"/>
                <w:sz w:val="24"/>
                <w:szCs w:val="24"/>
                <w:u w:val="none"/>
              </w:rPr>
            </w:pPr>
            <w:r>
              <w:rPr>
                <w:rFonts w:hint="eastAsia" w:ascii="仿宋_GB2312" w:hAnsi="仿宋_GB2312" w:eastAsia="仿宋_GB2312" w:cs="仿宋_GB2312"/>
                <w:sz w:val="24"/>
                <w:szCs w:val="24"/>
                <w:u w:val="none"/>
              </w:rPr>
              <w:t>年</w:t>
            </w:r>
            <w:r>
              <w:rPr>
                <w:rFonts w:hint="eastAsia" w:ascii="仿宋_GB2312" w:hAnsi="仿宋_GB2312" w:eastAsia="仿宋_GB2312" w:cs="仿宋_GB2312"/>
                <w:sz w:val="24"/>
                <w:szCs w:val="24"/>
                <w:u w:val="none"/>
                <w:lang w:val="en-US" w:eastAsia="zh-CN"/>
              </w:rPr>
              <w:t xml:space="preserve">   </w:t>
            </w:r>
            <w:r>
              <w:rPr>
                <w:rFonts w:hint="eastAsia" w:ascii="仿宋_GB2312" w:hAnsi="仿宋_GB2312" w:eastAsia="仿宋_GB2312" w:cs="仿宋_GB2312"/>
                <w:sz w:val="24"/>
                <w:szCs w:val="24"/>
                <w:u w:val="none"/>
              </w:rPr>
              <w:t xml:space="preserve"> 月</w:t>
            </w:r>
            <w:r>
              <w:rPr>
                <w:rFonts w:hint="eastAsia" w:ascii="仿宋_GB2312" w:hAnsi="仿宋_GB2312" w:eastAsia="仿宋_GB2312" w:cs="仿宋_GB2312"/>
                <w:sz w:val="24"/>
                <w:szCs w:val="24"/>
                <w:u w:val="none"/>
                <w:lang w:val="en-US" w:eastAsia="zh-CN"/>
              </w:rPr>
              <w:t xml:space="preserve">    </w:t>
            </w:r>
            <w:r>
              <w:rPr>
                <w:rFonts w:hint="eastAsia" w:ascii="仿宋_GB2312" w:hAnsi="仿宋_GB2312" w:eastAsia="仿宋_GB2312" w:cs="仿宋_GB2312"/>
                <w:sz w:val="24"/>
                <w:szCs w:val="24"/>
                <w:u w:val="none"/>
              </w:rPr>
              <w:t xml:space="preserve">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2" w:hRule="atLeast"/>
          <w:jc w:val="center"/>
        </w:trPr>
        <w:tc>
          <w:tcPr>
            <w:tcW w:w="1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u w:val="none"/>
              </w:rPr>
              <w:t>预警</w:t>
            </w:r>
            <w:r>
              <w:rPr>
                <w:rFonts w:hint="eastAsia" w:ascii="仿宋_GB2312" w:hAnsi="仿宋_GB2312" w:eastAsia="仿宋_GB2312" w:cs="仿宋_GB2312"/>
                <w:sz w:val="24"/>
                <w:szCs w:val="24"/>
                <w:u w:val="none"/>
                <w:lang w:eastAsia="zh-CN"/>
              </w:rPr>
              <w:t>内容</w:t>
            </w:r>
          </w:p>
        </w:tc>
        <w:tc>
          <w:tcPr>
            <w:tcW w:w="6854" w:type="dxa"/>
            <w:tcBorders>
              <w:top w:val="single" w:color="auto" w:sz="4" w:space="0"/>
              <w:left w:val="single" w:color="auto" w:sz="4" w:space="0"/>
              <w:bottom w:val="single" w:color="auto" w:sz="4" w:space="0"/>
              <w:right w:val="single" w:color="auto" w:sz="4" w:space="0"/>
            </w:tcBorders>
            <w:noWrap w:val="0"/>
            <w:vAlign w:val="center"/>
          </w:tcPr>
          <w:p>
            <w:pPr>
              <w:pStyle w:val="3"/>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u w:val="none"/>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kern w:val="2"/>
                <w:sz w:val="24"/>
                <w:szCs w:val="24"/>
                <w:u w:val="none"/>
                <w:lang w:eastAsia="zh-CN"/>
              </w:rPr>
              <w:t>（</w:t>
            </w:r>
            <w:r>
              <w:rPr>
                <w:rFonts w:hint="eastAsia" w:ascii="仿宋_GB2312" w:hAnsi="仿宋_GB2312" w:eastAsia="仿宋_GB2312" w:cs="仿宋_GB2312"/>
                <w:kern w:val="2"/>
                <w:sz w:val="24"/>
                <w:szCs w:val="24"/>
                <w:u w:val="none"/>
              </w:rPr>
              <w:t>预警原因、预警区域或场所、影响估计及应对措施、发布机关等</w:t>
            </w:r>
            <w:r>
              <w:rPr>
                <w:rFonts w:hint="eastAsia" w:ascii="仿宋_GB2312" w:hAnsi="仿宋_GB2312" w:eastAsia="仿宋_GB2312" w:cs="仿宋_GB2312"/>
                <w:kern w:val="2"/>
                <w:sz w:val="24"/>
                <w:szCs w:val="24"/>
                <w:u w:val="none"/>
                <w:lang w:eastAsia="zh-CN"/>
              </w:rPr>
              <w:t>以及向可能受到危害的毗邻地区的政府或部门通报建议）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3" w:hRule="atLeast"/>
          <w:jc w:val="center"/>
        </w:trPr>
        <w:tc>
          <w:tcPr>
            <w:tcW w:w="1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b w:val="0"/>
                <w:bCs w:val="0"/>
                <w:color w:val="auto"/>
                <w:sz w:val="24"/>
                <w:szCs w:val="24"/>
                <w:u w:val="none"/>
                <w:lang w:eastAsia="zh-CN"/>
              </w:rPr>
              <w:t>县生态环境保护综合行政执法大队</w:t>
            </w:r>
            <w:r>
              <w:rPr>
                <w:rFonts w:hint="eastAsia" w:ascii="仿宋_GB2312" w:hAnsi="仿宋_GB2312" w:eastAsia="仿宋_GB2312" w:cs="仿宋_GB2312"/>
                <w:sz w:val="24"/>
                <w:szCs w:val="24"/>
                <w:u w:val="none"/>
                <w:lang w:eastAsia="zh-CN"/>
              </w:rPr>
              <w:t>建议</w:t>
            </w:r>
          </w:p>
        </w:tc>
        <w:tc>
          <w:tcPr>
            <w:tcW w:w="68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sz w:val="24"/>
                <w:szCs w:val="24"/>
                <w:u w:val="none"/>
                <w:lang w:eastAsia="zh-CN"/>
              </w:rPr>
            </w:pPr>
          </w:p>
          <w:p>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sz w:val="24"/>
                <w:szCs w:val="24"/>
                <w:u w:val="none"/>
                <w:lang w:eastAsia="zh-CN"/>
              </w:rPr>
            </w:pPr>
          </w:p>
          <w:p>
            <w:pPr>
              <w:keepNext w:val="0"/>
              <w:keepLines w:val="0"/>
              <w:pageBreakBefore w:val="0"/>
              <w:widowControl/>
              <w:kinsoku/>
              <w:wordWrap w:val="0"/>
              <w:overflowPunct/>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eastAsia="zh-CN"/>
              </w:rPr>
              <w:t>签字：</w:t>
            </w:r>
          </w:p>
          <w:p>
            <w:pPr>
              <w:keepNext w:val="0"/>
              <w:keepLines w:val="0"/>
              <w:pageBreakBefore w:val="0"/>
              <w:widowControl/>
              <w:kinsoku/>
              <w:wordWrap w:val="0"/>
              <w:overflowPunct/>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eastAsia="zh-CN"/>
              </w:rPr>
              <w:t>年</w:t>
            </w:r>
            <w:r>
              <w:rPr>
                <w:rFonts w:hint="eastAsia" w:ascii="仿宋_GB2312" w:hAnsi="仿宋_GB2312" w:eastAsia="仿宋_GB2312" w:cs="仿宋_GB2312"/>
                <w:sz w:val="24"/>
                <w:szCs w:val="24"/>
                <w:u w:val="none"/>
                <w:lang w:val="en-US" w:eastAsia="zh-CN"/>
              </w:rPr>
              <w:t xml:space="preserve">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3" w:hRule="atLeast"/>
          <w:jc w:val="center"/>
        </w:trPr>
        <w:tc>
          <w:tcPr>
            <w:tcW w:w="1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u w:val="none"/>
                <w:lang w:eastAsia="zh-CN"/>
              </w:rPr>
              <w:t>县</w:t>
            </w:r>
            <w:r>
              <w:rPr>
                <w:rFonts w:hint="eastAsia" w:ascii="仿宋_GB2312" w:hAnsi="仿宋_GB2312" w:eastAsia="仿宋_GB2312" w:cs="仿宋_GB2312"/>
                <w:sz w:val="24"/>
                <w:szCs w:val="24"/>
                <w:u w:val="none"/>
              </w:rPr>
              <w:t>生态环境</w:t>
            </w:r>
            <w:r>
              <w:rPr>
                <w:rFonts w:hint="eastAsia" w:ascii="仿宋_GB2312" w:hAnsi="仿宋_GB2312" w:eastAsia="仿宋_GB2312" w:cs="仿宋_GB2312"/>
                <w:sz w:val="24"/>
                <w:szCs w:val="24"/>
                <w:u w:val="none"/>
                <w:lang w:eastAsia="zh-CN"/>
              </w:rPr>
              <w:t>分局建议</w:t>
            </w:r>
          </w:p>
        </w:tc>
        <w:tc>
          <w:tcPr>
            <w:tcW w:w="68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ind w:firstLine="0" w:firstLineChars="0"/>
              <w:jc w:val="center"/>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t>（</w:t>
            </w:r>
            <w:r>
              <w:rPr>
                <w:rFonts w:hint="eastAsia" w:ascii="仿宋_GB2312" w:hAnsi="仿宋_GB2312" w:eastAsia="仿宋_GB2312" w:cs="仿宋_GB2312"/>
                <w:sz w:val="24"/>
                <w:szCs w:val="24"/>
                <w:u w:val="none"/>
                <w:lang w:eastAsia="zh-CN"/>
              </w:rPr>
              <w:t>歙县</w:t>
            </w:r>
            <w:r>
              <w:rPr>
                <w:rFonts w:hint="eastAsia" w:ascii="仿宋_GB2312" w:hAnsi="仿宋_GB2312" w:eastAsia="仿宋_GB2312" w:cs="仿宋_GB2312"/>
                <w:sz w:val="24"/>
                <w:szCs w:val="24"/>
                <w:u w:val="none"/>
              </w:rPr>
              <w:t>生态环境</w:t>
            </w:r>
            <w:r>
              <w:rPr>
                <w:rFonts w:hint="eastAsia" w:ascii="仿宋_GB2312" w:hAnsi="仿宋_GB2312" w:eastAsia="仿宋_GB2312" w:cs="仿宋_GB2312"/>
                <w:sz w:val="24"/>
                <w:szCs w:val="24"/>
                <w:u w:val="none"/>
                <w:lang w:eastAsia="zh-CN"/>
              </w:rPr>
              <w:t>分局局</w:t>
            </w:r>
            <w:r>
              <w:rPr>
                <w:rFonts w:hint="eastAsia" w:ascii="仿宋_GB2312" w:hAnsi="仿宋_GB2312" w:eastAsia="仿宋_GB2312" w:cs="仿宋_GB2312"/>
                <w:sz w:val="24"/>
                <w:szCs w:val="24"/>
                <w:u w:val="none"/>
              </w:rPr>
              <w:t>长签批）</w:t>
            </w:r>
          </w:p>
          <w:p>
            <w:pPr>
              <w:keepNext w:val="0"/>
              <w:keepLines w:val="0"/>
              <w:pageBreakBefore w:val="0"/>
              <w:widowControl/>
              <w:kinsoku/>
              <w:wordWrap w:val="0"/>
              <w:overflowPunct/>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eastAsia="zh-CN"/>
              </w:rPr>
              <w:t>签字：</w:t>
            </w:r>
          </w:p>
          <w:p>
            <w:pPr>
              <w:keepNext w:val="0"/>
              <w:keepLines w:val="0"/>
              <w:pageBreakBefore w:val="0"/>
              <w:widowControl/>
              <w:kinsoku/>
              <w:wordWrap w:val="0"/>
              <w:overflowPunct/>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eastAsia="zh-CN"/>
              </w:rPr>
              <w:t>年</w:t>
            </w:r>
            <w:r>
              <w:rPr>
                <w:rFonts w:hint="eastAsia" w:ascii="仿宋_GB2312" w:hAnsi="仿宋_GB2312" w:eastAsia="仿宋_GB2312" w:cs="仿宋_GB2312"/>
                <w:sz w:val="24"/>
                <w:szCs w:val="24"/>
                <w:u w:val="none"/>
                <w:lang w:val="en-US" w:eastAsia="zh-CN"/>
              </w:rPr>
              <w:t xml:space="preserve">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43" w:hRule="atLeast"/>
          <w:jc w:val="center"/>
        </w:trPr>
        <w:tc>
          <w:tcPr>
            <w:tcW w:w="18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lang w:eastAsia="zh-CN"/>
              </w:rPr>
              <w:t>县政府意见</w:t>
            </w:r>
          </w:p>
        </w:tc>
        <w:tc>
          <w:tcPr>
            <w:tcW w:w="68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sz w:val="24"/>
                <w:szCs w:val="24"/>
                <w:u w:val="none"/>
                <w:lang w:eastAsia="zh-CN"/>
              </w:rPr>
            </w:pPr>
            <w:r>
              <w:rPr>
                <w:rFonts w:hint="eastAsia" w:ascii="仿宋_GB2312" w:hAnsi="仿宋_GB2312" w:eastAsia="仿宋_GB2312" w:cs="仿宋_GB2312"/>
                <w:sz w:val="24"/>
                <w:szCs w:val="24"/>
                <w:u w:val="none"/>
              </w:rPr>
              <w:t>（分管副</w:t>
            </w:r>
            <w:r>
              <w:rPr>
                <w:rFonts w:hint="eastAsia" w:ascii="仿宋_GB2312" w:hAnsi="仿宋_GB2312" w:eastAsia="仿宋_GB2312" w:cs="仿宋_GB2312"/>
                <w:sz w:val="24"/>
                <w:szCs w:val="24"/>
                <w:u w:val="none"/>
                <w:lang w:eastAsia="zh-CN"/>
              </w:rPr>
              <w:t>县</w:t>
            </w:r>
            <w:r>
              <w:rPr>
                <w:rFonts w:hint="eastAsia" w:ascii="仿宋_GB2312" w:hAnsi="仿宋_GB2312" w:eastAsia="仿宋_GB2312" w:cs="仿宋_GB2312"/>
                <w:sz w:val="24"/>
                <w:szCs w:val="24"/>
                <w:u w:val="none"/>
              </w:rPr>
              <w:t>长签批）</w:t>
            </w:r>
          </w:p>
          <w:p>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sz w:val="24"/>
                <w:szCs w:val="24"/>
                <w:u w:val="none"/>
                <w:lang w:eastAsia="zh-CN"/>
              </w:rPr>
            </w:pPr>
          </w:p>
          <w:p>
            <w:pPr>
              <w:keepNext w:val="0"/>
              <w:keepLines w:val="0"/>
              <w:pageBreakBefore w:val="0"/>
              <w:widowControl/>
              <w:kinsoku/>
              <w:wordWrap w:val="0"/>
              <w:overflowPunct/>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eastAsia="zh-CN"/>
              </w:rPr>
              <w:t>签字：</w:t>
            </w:r>
          </w:p>
          <w:p>
            <w:pPr>
              <w:keepNext w:val="0"/>
              <w:keepLines w:val="0"/>
              <w:pageBreakBefore w:val="0"/>
              <w:widowControl/>
              <w:kinsoku/>
              <w:wordWrap w:val="0"/>
              <w:overflowPunct/>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eastAsia="zh-CN"/>
              </w:rPr>
              <w:t>年</w:t>
            </w:r>
            <w:r>
              <w:rPr>
                <w:rFonts w:hint="eastAsia" w:ascii="仿宋_GB2312" w:hAnsi="仿宋_GB2312" w:eastAsia="仿宋_GB2312" w:cs="仿宋_GB2312"/>
                <w:sz w:val="24"/>
                <w:szCs w:val="24"/>
                <w:u w:val="none"/>
                <w:lang w:val="en-US" w:eastAsia="zh-CN"/>
              </w:rPr>
              <w:t xml:space="preserve">  月  日</w:t>
            </w:r>
          </w:p>
        </w:tc>
      </w:tr>
    </w:tbl>
    <w:p>
      <w:pPr>
        <w:keepNext w:val="0"/>
        <w:keepLines w:val="0"/>
        <w:pageBreakBefore w:val="0"/>
        <w:widowControl/>
        <w:kinsoku/>
        <w:overflowPunct/>
        <w:topLinePunct w:val="0"/>
        <w:autoSpaceDE/>
        <w:autoSpaceDN/>
        <w:bidi w:val="0"/>
        <w:spacing w:line="560" w:lineRule="exact"/>
        <w:ind w:firstLine="241" w:firstLineChars="100"/>
        <w:jc w:val="left"/>
        <w:textAlignment w:val="auto"/>
        <w:rPr>
          <w:rFonts w:hint="eastAsia" w:ascii="仿宋_GB2312" w:hAnsi="仿宋_GB2312" w:eastAsia="仿宋_GB2312" w:cs="仿宋_GB2312"/>
        </w:rPr>
        <w:sectPr>
          <w:pgSz w:w="11906" w:h="16838"/>
          <w:pgMar w:top="1701" w:right="1417" w:bottom="1417" w:left="147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_GB2312" w:eastAsia="仿宋_GB2312" w:cs="仿宋_GB2312"/>
          <w:b/>
          <w:bCs/>
          <w:kern w:val="0"/>
          <w:sz w:val="24"/>
          <w:szCs w:val="24"/>
          <w:u w:val="none"/>
          <w:lang w:eastAsia="zh-CN"/>
        </w:rPr>
        <w:t>备注：</w:t>
      </w:r>
      <w:r>
        <w:rPr>
          <w:rFonts w:hint="eastAsia" w:ascii="仿宋_GB2312" w:hAnsi="仿宋_GB2312" w:eastAsia="仿宋_GB2312" w:cs="仿宋_GB2312"/>
          <w:kern w:val="0"/>
          <w:sz w:val="24"/>
          <w:szCs w:val="24"/>
          <w:u w:val="none"/>
          <w:lang w:eastAsia="zh-CN"/>
        </w:rPr>
        <w:t>因情况紧急，可先</w:t>
      </w:r>
      <w:r>
        <w:rPr>
          <w:rFonts w:hint="eastAsia" w:ascii="仿宋_GB2312" w:hAnsi="仿宋_GB2312" w:eastAsia="仿宋_GB2312" w:cs="仿宋_GB2312"/>
          <w:kern w:val="0"/>
          <w:sz w:val="24"/>
          <w:szCs w:val="24"/>
          <w:u w:val="none"/>
          <w:lang w:val="en-US" w:eastAsia="zh-CN"/>
        </w:rPr>
        <w:t>采用</w:t>
      </w:r>
      <w:r>
        <w:rPr>
          <w:rFonts w:hint="eastAsia" w:ascii="仿宋_GB2312" w:hAnsi="仿宋_GB2312" w:eastAsia="仿宋_GB2312" w:cs="仿宋_GB2312"/>
          <w:kern w:val="0"/>
          <w:sz w:val="24"/>
          <w:szCs w:val="24"/>
          <w:u w:val="none"/>
          <w:lang w:eastAsia="zh-CN"/>
        </w:rPr>
        <w:t>电话等方式请示，</w:t>
      </w:r>
      <w:r>
        <w:rPr>
          <w:rFonts w:hint="eastAsia" w:ascii="仿宋_GB2312" w:hAnsi="仿宋_GB2312" w:eastAsia="仿宋_GB2312" w:cs="仿宋_GB2312"/>
          <w:kern w:val="0"/>
          <w:sz w:val="24"/>
          <w:szCs w:val="24"/>
          <w:u w:val="none"/>
          <w:lang w:val="en-US" w:eastAsia="zh-CN"/>
        </w:rPr>
        <w:t>后续可再办理补签等手续。</w:t>
      </w:r>
      <w:bookmarkStart w:id="362" w:name="_Toc6590"/>
      <w:bookmarkStart w:id="363" w:name="_Toc13046"/>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val="0"/>
          <w:bCs w:val="0"/>
          <w:kern w:val="0"/>
          <w:sz w:val="32"/>
          <w:szCs w:val="32"/>
          <w:u w:val="none"/>
          <w:lang w:val="en-US" w:eastAsia="zh-CN"/>
        </w:rPr>
      </w:pPr>
      <w:r>
        <w:rPr>
          <w:rFonts w:hint="eastAsia" w:ascii="仿宋_GB2312" w:hAnsi="仿宋_GB2312" w:eastAsia="仿宋_GB2312" w:cs="仿宋_GB2312"/>
          <w:b w:val="0"/>
          <w:bCs w:val="0"/>
          <w:kern w:val="0"/>
          <w:sz w:val="32"/>
          <w:szCs w:val="32"/>
          <w:u w:val="none"/>
        </w:rPr>
        <w:t>附件</w:t>
      </w:r>
      <w:bookmarkEnd w:id="362"/>
      <w:bookmarkEnd w:id="363"/>
      <w:r>
        <w:rPr>
          <w:rFonts w:hint="eastAsia" w:ascii="仿宋_GB2312" w:hAnsi="仿宋_GB2312" w:eastAsia="仿宋_GB2312" w:cs="仿宋_GB2312"/>
          <w:b w:val="0"/>
          <w:bCs w:val="0"/>
          <w:kern w:val="0"/>
          <w:sz w:val="32"/>
          <w:szCs w:val="32"/>
          <w:u w:val="none"/>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00"/>
        <w:jc w:val="center"/>
        <w:textAlignment w:val="auto"/>
        <w:rPr>
          <w:rFonts w:hint="eastAsia" w:ascii="方正小标宋_GBK" w:hAnsi="方正小标宋_GBK" w:eastAsia="方正小标宋_GBK" w:cs="方正小标宋_GBK"/>
          <w:b w:val="0"/>
          <w:bCs w:val="0"/>
          <w:sz w:val="40"/>
          <w:szCs w:val="40"/>
          <w:lang w:val="en-US" w:eastAsia="zh-CN"/>
        </w:rPr>
      </w:pPr>
      <w:bookmarkStart w:id="364" w:name="_Toc990_WPSOffice_Level1"/>
      <w:bookmarkStart w:id="365" w:name="_Toc25528_WPSOffice_Level1"/>
      <w:bookmarkStart w:id="366" w:name="_Toc3322_WPSOffice_Level1"/>
      <w:bookmarkStart w:id="367" w:name="_Toc7091_WPSOffice_Level1"/>
      <w:bookmarkStart w:id="368" w:name="_Toc741_WPSOffice_Level1"/>
      <w:bookmarkStart w:id="369" w:name="_Toc9638_WPSOffice_Level1"/>
      <w:r>
        <w:rPr>
          <w:rFonts w:hint="eastAsia" w:ascii="方正小标宋_GBK" w:hAnsi="方正小标宋_GBK" w:eastAsia="方正小标宋_GBK" w:cs="方正小标宋_GBK"/>
          <w:b w:val="0"/>
          <w:bCs w:val="0"/>
          <w:sz w:val="40"/>
          <w:szCs w:val="40"/>
          <w:lang w:val="en-US" w:eastAsia="zh-CN"/>
        </w:rPr>
        <w:t>歙县突发生态环境事件应急响应</w:t>
      </w:r>
      <w:bookmarkEnd w:id="364"/>
      <w:bookmarkEnd w:id="365"/>
      <w:bookmarkEnd w:id="366"/>
      <w:bookmarkEnd w:id="367"/>
      <w:bookmarkEnd w:id="368"/>
    </w:p>
    <w:p>
      <w:pPr>
        <w:keepNext w:val="0"/>
        <w:keepLines w:val="0"/>
        <w:pageBreakBefore w:val="0"/>
        <w:widowControl w:val="0"/>
        <w:kinsoku/>
        <w:wordWrap/>
        <w:overflowPunct/>
        <w:topLinePunct w:val="0"/>
        <w:autoSpaceDE/>
        <w:autoSpaceDN/>
        <w:bidi w:val="0"/>
        <w:adjustRightInd/>
        <w:snapToGrid/>
        <w:spacing w:line="560" w:lineRule="exact"/>
        <w:ind w:firstLine="800" w:firstLineChars="200"/>
        <w:jc w:val="center"/>
        <w:textAlignment w:val="auto"/>
        <w:rPr>
          <w:rFonts w:hint="eastAsia" w:ascii="方正小标宋_GBK" w:hAnsi="方正小标宋_GBK" w:eastAsia="方正小标宋_GBK" w:cs="方正小标宋_GBK"/>
          <w:b w:val="0"/>
          <w:bCs w:val="0"/>
          <w:sz w:val="40"/>
          <w:szCs w:val="40"/>
          <w:lang w:val="en-US" w:eastAsia="zh-CN"/>
        </w:rPr>
      </w:pPr>
      <w:bookmarkStart w:id="370" w:name="_Toc2830_WPSOffice_Level1"/>
      <w:bookmarkStart w:id="371" w:name="_Toc299_WPSOffice_Level1"/>
      <w:bookmarkStart w:id="372" w:name="_Toc29894_WPSOffice_Level1"/>
      <w:bookmarkStart w:id="373" w:name="_Toc26025_WPSOffice_Level1"/>
      <w:bookmarkStart w:id="374" w:name="_Toc30175_WPSOffice_Level1"/>
      <w:r>
        <w:rPr>
          <w:rFonts w:hint="eastAsia" w:ascii="方正小标宋_GBK" w:hAnsi="方正小标宋_GBK" w:eastAsia="方正小标宋_GBK" w:cs="方正小标宋_GBK"/>
          <w:b w:val="0"/>
          <w:bCs w:val="0"/>
          <w:sz w:val="40"/>
          <w:szCs w:val="40"/>
          <w:lang w:val="en-US" w:eastAsia="zh-CN"/>
        </w:rPr>
        <w:t>启动（调整、终</w:t>
      </w:r>
      <w:bookmarkEnd w:id="369"/>
      <w:r>
        <w:rPr>
          <w:rFonts w:hint="eastAsia" w:ascii="方正小标宋_GBK" w:hAnsi="方正小标宋_GBK" w:eastAsia="方正小标宋_GBK" w:cs="方正小标宋_GBK"/>
          <w:b w:val="0"/>
          <w:bCs w:val="0"/>
          <w:sz w:val="40"/>
          <w:szCs w:val="40"/>
          <w:lang w:val="en-US" w:eastAsia="zh-CN"/>
        </w:rPr>
        <w:t>止）</w:t>
      </w:r>
      <w:bookmarkEnd w:id="370"/>
      <w:bookmarkEnd w:id="371"/>
      <w:bookmarkEnd w:id="372"/>
      <w:bookmarkEnd w:id="373"/>
      <w:bookmarkStart w:id="375" w:name="_Toc13057_WPSOffice_Level1"/>
      <w:r>
        <w:rPr>
          <w:rFonts w:hint="eastAsia" w:ascii="方正小标宋_GBK" w:hAnsi="方正小标宋_GBK" w:eastAsia="方正小标宋_GBK" w:cs="方正小标宋_GBK"/>
          <w:b w:val="0"/>
          <w:bCs w:val="0"/>
          <w:sz w:val="40"/>
          <w:szCs w:val="40"/>
          <w:lang w:val="en-US" w:eastAsia="zh-CN"/>
        </w:rPr>
        <w:t>审批表</w:t>
      </w:r>
      <w:bookmarkEnd w:id="374"/>
      <w:bookmarkEnd w:id="375"/>
    </w:p>
    <w:p>
      <w:pPr>
        <w:keepNext w:val="0"/>
        <w:keepLines w:val="0"/>
        <w:pageBreakBefore w:val="0"/>
        <w:kinsoku/>
        <w:overflowPunct/>
        <w:topLinePunct w:val="0"/>
        <w:autoSpaceDE/>
        <w:autoSpaceDN/>
        <w:bidi w:val="0"/>
        <w:spacing w:line="560" w:lineRule="exact"/>
        <w:jc w:val="right"/>
        <w:textAlignment w:val="auto"/>
        <w:rPr>
          <w:rFonts w:hint="eastAsia" w:ascii="仿宋_GB2312" w:hAnsi="仿宋_GB2312" w:eastAsia="仿宋_GB2312" w:cs="仿宋_GB2312"/>
          <w:u w:val="none"/>
        </w:rPr>
      </w:pPr>
      <w:r>
        <w:rPr>
          <w:rFonts w:hint="eastAsia" w:ascii="仿宋_GB2312" w:hAnsi="仿宋_GB2312" w:eastAsia="仿宋_GB2312" w:cs="仿宋_GB2312"/>
          <w:u w:val="none"/>
        </w:rPr>
        <w:t xml:space="preserve">                       </w:t>
      </w:r>
      <w:bookmarkStart w:id="376" w:name="_Toc11702_WPSOffice_Level2"/>
      <w:bookmarkStart w:id="377" w:name="_Toc5005_WPSOffice_Level2"/>
      <w:bookmarkStart w:id="378" w:name="_Toc3084"/>
      <w:bookmarkStart w:id="379" w:name="_Toc18184_WPSOffice_Level2"/>
      <w:bookmarkStart w:id="380" w:name="_Toc23548_WPSOffice_Level2"/>
      <w:bookmarkStart w:id="381" w:name="_Toc24152_WPSOffice_Level2"/>
      <w:bookmarkStart w:id="382" w:name="_Toc31472_WPSOffice_Level2"/>
      <w:r>
        <w:rPr>
          <w:rFonts w:hint="eastAsia" w:ascii="仿宋_GB2312" w:hAnsi="仿宋_GB2312" w:eastAsia="仿宋_GB2312" w:cs="仿宋_GB2312"/>
          <w:u w:val="none"/>
        </w:rPr>
        <w:t>年</w:t>
      </w:r>
      <w:r>
        <w:rPr>
          <w:rFonts w:hint="eastAsia" w:ascii="仿宋_GB2312" w:hAnsi="仿宋_GB2312" w:eastAsia="仿宋_GB2312" w:cs="仿宋_GB2312"/>
          <w:u w:val="none"/>
          <w:lang w:val="en-US" w:eastAsia="zh-CN"/>
        </w:rPr>
        <w:t xml:space="preserve">   </w:t>
      </w:r>
      <w:r>
        <w:rPr>
          <w:rFonts w:hint="eastAsia" w:ascii="仿宋_GB2312" w:hAnsi="仿宋_GB2312" w:eastAsia="仿宋_GB2312" w:cs="仿宋_GB2312"/>
          <w:u w:val="none"/>
        </w:rPr>
        <w:t xml:space="preserve"> 月</w:t>
      </w:r>
      <w:r>
        <w:rPr>
          <w:rFonts w:hint="eastAsia" w:ascii="仿宋_GB2312" w:hAnsi="仿宋_GB2312" w:eastAsia="仿宋_GB2312" w:cs="仿宋_GB2312"/>
          <w:u w:val="none"/>
          <w:lang w:val="en-US" w:eastAsia="zh-CN"/>
        </w:rPr>
        <w:t xml:space="preserve">   </w:t>
      </w:r>
      <w:r>
        <w:rPr>
          <w:rFonts w:hint="eastAsia" w:ascii="仿宋_GB2312" w:hAnsi="仿宋_GB2312" w:eastAsia="仿宋_GB2312" w:cs="仿宋_GB2312"/>
          <w:u w:val="none"/>
        </w:rPr>
        <w:t xml:space="preserve"> 日</w:t>
      </w:r>
      <w:bookmarkEnd w:id="376"/>
      <w:bookmarkEnd w:id="377"/>
      <w:bookmarkEnd w:id="378"/>
      <w:bookmarkEnd w:id="379"/>
      <w:bookmarkEnd w:id="380"/>
      <w:bookmarkEnd w:id="381"/>
      <w:bookmarkEnd w:id="382"/>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45"/>
        <w:gridCol w:w="3661"/>
        <w:gridCol w:w="35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4" w:hRule="atLeast"/>
          <w:jc w:val="center"/>
        </w:trPr>
        <w:tc>
          <w:tcPr>
            <w:tcW w:w="154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b w:val="0"/>
                <w:bCs w:val="0"/>
                <w:sz w:val="24"/>
                <w:szCs w:val="24"/>
                <w:u w:val="none"/>
                <w:lang w:eastAsia="zh-CN"/>
              </w:rPr>
            </w:pPr>
            <w:r>
              <w:rPr>
                <w:rFonts w:hint="eastAsia" w:ascii="仿宋_GB2312" w:hAnsi="仿宋_GB2312" w:eastAsia="仿宋_GB2312" w:cs="仿宋_GB2312"/>
                <w:b w:val="0"/>
                <w:bCs w:val="0"/>
                <w:sz w:val="24"/>
                <w:szCs w:val="24"/>
                <w:u w:val="none"/>
                <w:lang w:eastAsia="zh-CN"/>
              </w:rPr>
              <w:t>事件基本</w:t>
            </w:r>
          </w:p>
          <w:p>
            <w:pPr>
              <w:keepNext w:val="0"/>
              <w:keepLines w:val="0"/>
              <w:pageBreakBefore w:val="0"/>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b w:val="0"/>
                <w:bCs w:val="0"/>
                <w:sz w:val="24"/>
                <w:szCs w:val="24"/>
                <w:u w:val="none"/>
              </w:rPr>
            </w:pPr>
            <w:r>
              <w:rPr>
                <w:rFonts w:hint="eastAsia" w:ascii="仿宋_GB2312" w:hAnsi="仿宋_GB2312" w:eastAsia="仿宋_GB2312" w:cs="仿宋_GB2312"/>
                <w:b w:val="0"/>
                <w:bCs w:val="0"/>
                <w:sz w:val="24"/>
                <w:szCs w:val="24"/>
                <w:u w:val="none"/>
                <w:lang w:eastAsia="zh-CN"/>
              </w:rPr>
              <w:t>情</w:t>
            </w:r>
            <w:r>
              <w:rPr>
                <w:rFonts w:hint="eastAsia" w:ascii="仿宋_GB2312" w:hAnsi="仿宋_GB2312" w:eastAsia="仿宋_GB2312" w:cs="仿宋_GB2312"/>
                <w:b w:val="0"/>
                <w:bCs w:val="0"/>
                <w:sz w:val="24"/>
                <w:szCs w:val="24"/>
                <w:u w:val="none"/>
                <w:lang w:val="en-US" w:eastAsia="zh-CN"/>
              </w:rPr>
              <w:t xml:space="preserve">    </w:t>
            </w:r>
            <w:r>
              <w:rPr>
                <w:rFonts w:hint="eastAsia" w:ascii="仿宋_GB2312" w:hAnsi="仿宋_GB2312" w:eastAsia="仿宋_GB2312" w:cs="仿宋_GB2312"/>
                <w:b w:val="0"/>
                <w:bCs w:val="0"/>
                <w:sz w:val="24"/>
                <w:szCs w:val="24"/>
                <w:u w:val="none"/>
                <w:lang w:eastAsia="zh-CN"/>
              </w:rPr>
              <w:t>况</w:t>
            </w:r>
          </w:p>
        </w:tc>
        <w:tc>
          <w:tcPr>
            <w:tcW w:w="7175" w:type="dxa"/>
            <w:gridSpan w:val="2"/>
            <w:tcBorders>
              <w:top w:val="single" w:color="auto" w:sz="8" w:space="0"/>
              <w:left w:val="single" w:color="auto" w:sz="8" w:space="0"/>
              <w:bottom w:val="single" w:color="auto" w:sz="8" w:space="0"/>
              <w:right w:val="single" w:color="auto" w:sz="8" w:space="0"/>
            </w:tcBorders>
            <w:noWrap w:val="0"/>
            <w:vAlign w:val="top"/>
          </w:tcPr>
          <w:p>
            <w:pPr>
              <w:keepNext w:val="0"/>
              <w:keepLines w:val="0"/>
              <w:pageBreakBefore w:val="0"/>
              <w:widowControl/>
              <w:kinsoku/>
              <w:wordWrap/>
              <w:overflowPunct/>
              <w:topLinePunct w:val="0"/>
              <w:autoSpaceDE/>
              <w:autoSpaceDN/>
              <w:bidi w:val="0"/>
              <w:spacing w:line="560" w:lineRule="exact"/>
              <w:ind w:firstLine="0" w:firstLineChars="0"/>
              <w:jc w:val="left"/>
              <w:textAlignment w:val="auto"/>
              <w:rPr>
                <w:rFonts w:hint="eastAsia" w:ascii="仿宋_GB2312" w:hAnsi="仿宋_GB2312" w:eastAsia="仿宋_GB2312" w:cs="仿宋_GB2312"/>
                <w:b w:val="0"/>
                <w:bCs w:val="0"/>
                <w:sz w:val="24"/>
                <w:szCs w:val="24"/>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85" w:hRule="atLeast"/>
          <w:jc w:val="center"/>
        </w:trPr>
        <w:tc>
          <w:tcPr>
            <w:tcW w:w="154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b w:val="0"/>
                <w:bCs w:val="0"/>
                <w:sz w:val="24"/>
                <w:szCs w:val="24"/>
                <w:u w:val="none"/>
                <w:lang w:eastAsia="zh-CN"/>
              </w:rPr>
            </w:pPr>
            <w:r>
              <w:rPr>
                <w:rFonts w:hint="eastAsia" w:ascii="仿宋_GB2312" w:hAnsi="仿宋_GB2312" w:eastAsia="仿宋_GB2312" w:cs="仿宋_GB2312"/>
                <w:b w:val="0"/>
                <w:bCs w:val="0"/>
                <w:sz w:val="24"/>
                <w:szCs w:val="24"/>
                <w:u w:val="none"/>
                <w:lang w:eastAsia="zh-CN"/>
              </w:rPr>
              <w:t>县生态环境保护综合行政执法大队</w:t>
            </w:r>
          </w:p>
          <w:p>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b w:val="0"/>
                <w:bCs w:val="0"/>
                <w:sz w:val="24"/>
                <w:szCs w:val="24"/>
                <w:u w:val="none"/>
              </w:rPr>
            </w:pPr>
            <w:r>
              <w:rPr>
                <w:rFonts w:hint="eastAsia" w:ascii="仿宋_GB2312" w:hAnsi="仿宋_GB2312" w:eastAsia="仿宋_GB2312" w:cs="仿宋_GB2312"/>
                <w:b w:val="0"/>
                <w:bCs w:val="0"/>
                <w:sz w:val="24"/>
                <w:szCs w:val="24"/>
                <w:u w:val="none"/>
                <w:lang w:eastAsia="zh-CN"/>
              </w:rPr>
              <w:t>建议</w:t>
            </w:r>
          </w:p>
        </w:tc>
        <w:tc>
          <w:tcPr>
            <w:tcW w:w="7175" w:type="dxa"/>
            <w:gridSpan w:val="2"/>
            <w:tcBorders>
              <w:top w:val="single" w:color="auto" w:sz="8" w:space="0"/>
              <w:left w:val="single" w:color="auto" w:sz="8" w:space="0"/>
              <w:bottom w:val="single" w:color="auto" w:sz="8" w:space="0"/>
              <w:right w:val="single" w:color="auto" w:sz="8" w:space="0"/>
            </w:tcBorders>
            <w:noWrap w:val="0"/>
            <w:vAlign w:val="top"/>
          </w:tcPr>
          <w:p>
            <w:pPr>
              <w:keepNext w:val="0"/>
              <w:keepLines w:val="0"/>
              <w:pageBreakBefore w:val="0"/>
              <w:widowControl/>
              <w:kinsoku/>
              <w:wordWrap/>
              <w:overflowPunct/>
              <w:topLinePunct w:val="0"/>
              <w:autoSpaceDE/>
              <w:autoSpaceDN/>
              <w:bidi w:val="0"/>
              <w:spacing w:line="560" w:lineRule="exact"/>
              <w:ind w:firstLine="0" w:firstLineChars="0"/>
              <w:textAlignment w:val="auto"/>
              <w:rPr>
                <w:rFonts w:hint="eastAsia" w:ascii="仿宋_GB2312" w:hAnsi="仿宋_GB2312" w:eastAsia="仿宋_GB2312" w:cs="仿宋_GB2312"/>
                <w:b w:val="0"/>
                <w:bCs w:val="0"/>
                <w:sz w:val="24"/>
                <w:szCs w:val="24"/>
                <w:u w:val="none"/>
                <w:lang w:eastAsia="zh-CN"/>
              </w:rPr>
            </w:pPr>
            <w:r>
              <w:rPr>
                <w:rFonts w:hint="eastAsia" w:ascii="仿宋_GB2312" w:hAnsi="仿宋_GB2312" w:eastAsia="仿宋_GB2312" w:cs="仿宋_GB2312"/>
                <w:b w:val="0"/>
                <w:bCs w:val="0"/>
                <w:sz w:val="24"/>
                <w:szCs w:val="24"/>
                <w:u w:val="none"/>
                <w:lang w:eastAsia="zh-CN"/>
              </w:rPr>
              <w:t>建议启动（调整、终止）歙县</w:t>
            </w:r>
            <w:r>
              <w:rPr>
                <w:rFonts w:hint="eastAsia" w:ascii="仿宋_GB2312" w:hAnsi="仿宋_GB2312" w:eastAsia="仿宋_GB2312" w:cs="仿宋_GB2312"/>
                <w:b w:val="0"/>
                <w:bCs w:val="0"/>
                <w:sz w:val="24"/>
                <w:szCs w:val="24"/>
                <w:u w:val="none"/>
              </w:rPr>
              <w:t>突发环境事件  级响应</w:t>
            </w:r>
            <w:r>
              <w:rPr>
                <w:rFonts w:hint="eastAsia" w:ascii="仿宋_GB2312" w:hAnsi="仿宋_GB2312" w:eastAsia="仿宋_GB2312" w:cs="仿宋_GB2312"/>
                <w:b w:val="0"/>
                <w:bCs w:val="0"/>
                <w:sz w:val="24"/>
                <w:szCs w:val="24"/>
                <w:u w:val="none"/>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0" w:firstLineChars="0"/>
              <w:textAlignment w:val="auto"/>
              <w:rPr>
                <w:rFonts w:hint="eastAsia" w:ascii="仿宋_GB2312" w:hAnsi="仿宋_GB2312" w:eastAsia="仿宋_GB2312" w:cs="仿宋_GB2312"/>
                <w:b w:val="0"/>
                <w:bCs w:val="0"/>
                <w:sz w:val="24"/>
                <w:szCs w:val="24"/>
                <w:u w:val="none"/>
                <w:lang w:eastAsia="zh-CN"/>
              </w:rPr>
            </w:pPr>
          </w:p>
          <w:p>
            <w:pPr>
              <w:keepNext w:val="0"/>
              <w:keepLines w:val="0"/>
              <w:pageBreakBefore w:val="0"/>
              <w:widowControl/>
              <w:kinsoku/>
              <w:wordWrap w:val="0"/>
              <w:overflowPunct/>
              <w:topLinePunct w:val="0"/>
              <w:autoSpaceDE/>
              <w:autoSpaceDN/>
              <w:bidi w:val="0"/>
              <w:adjustRightInd w:val="0"/>
              <w:snapToGrid w:val="0"/>
              <w:spacing w:line="560" w:lineRule="exact"/>
              <w:ind w:firstLine="0" w:firstLineChars="0"/>
              <w:jc w:val="right"/>
              <w:textAlignment w:val="auto"/>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eastAsia="zh-CN"/>
              </w:rPr>
              <w:t>签字：</w:t>
            </w:r>
            <w:r>
              <w:rPr>
                <w:rFonts w:hint="eastAsia" w:ascii="仿宋_GB2312" w:hAnsi="仿宋_GB2312" w:eastAsia="仿宋_GB2312" w:cs="仿宋_GB2312"/>
                <w:b w:val="0"/>
                <w:bCs w:val="0"/>
                <w:sz w:val="24"/>
                <w:szCs w:val="24"/>
                <w:u w:val="none"/>
                <w:lang w:val="en-US" w:eastAsia="zh-CN"/>
              </w:rPr>
              <w:t xml:space="preserve">       </w:t>
            </w:r>
          </w:p>
          <w:p>
            <w:pPr>
              <w:keepNext w:val="0"/>
              <w:keepLines w:val="0"/>
              <w:pageBreakBefore w:val="0"/>
              <w:widowControl/>
              <w:kinsoku/>
              <w:wordWrap w:val="0"/>
              <w:overflowPunct/>
              <w:topLinePunct w:val="0"/>
              <w:autoSpaceDE/>
              <w:autoSpaceDN/>
              <w:bidi w:val="0"/>
              <w:adjustRightInd w:val="0"/>
              <w:snapToGrid w:val="0"/>
              <w:spacing w:line="560" w:lineRule="exact"/>
              <w:ind w:firstLine="0" w:firstLineChars="0"/>
              <w:jc w:val="right"/>
              <w:textAlignment w:val="auto"/>
              <w:rPr>
                <w:rFonts w:hint="eastAsia" w:ascii="仿宋_GB2312" w:hAnsi="仿宋_GB2312" w:eastAsia="仿宋_GB2312" w:cs="仿宋_GB2312"/>
                <w:b w:val="0"/>
                <w:bCs w:val="0"/>
                <w:spacing w:val="0"/>
                <w:sz w:val="24"/>
                <w:szCs w:val="24"/>
                <w:u w:val="none"/>
                <w:lang w:val="en-US"/>
              </w:rPr>
            </w:pPr>
            <w:r>
              <w:rPr>
                <w:rFonts w:hint="eastAsia" w:ascii="仿宋_GB2312" w:hAnsi="仿宋_GB2312" w:eastAsia="仿宋_GB2312" w:cs="仿宋_GB2312"/>
                <w:b w:val="0"/>
                <w:bCs w:val="0"/>
                <w:sz w:val="24"/>
                <w:szCs w:val="24"/>
                <w:u w:val="none"/>
                <w:lang w:eastAsia="zh-CN"/>
              </w:rPr>
              <w:t>年</w:t>
            </w:r>
            <w:r>
              <w:rPr>
                <w:rFonts w:hint="eastAsia" w:ascii="仿宋_GB2312" w:hAnsi="仿宋_GB2312" w:eastAsia="仿宋_GB2312" w:cs="仿宋_GB2312"/>
                <w:b w:val="0"/>
                <w:bCs w:val="0"/>
                <w:sz w:val="24"/>
                <w:szCs w:val="24"/>
                <w:u w:val="none"/>
                <w:lang w:val="en-US" w:eastAsia="zh-CN"/>
              </w:rPr>
              <w:t xml:space="preserve">  月  日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28" w:hRule="atLeast"/>
          <w:jc w:val="center"/>
        </w:trPr>
        <w:tc>
          <w:tcPr>
            <w:tcW w:w="154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b w:val="0"/>
                <w:bCs w:val="0"/>
                <w:sz w:val="24"/>
                <w:szCs w:val="24"/>
                <w:u w:val="none"/>
              </w:rPr>
            </w:pPr>
            <w:r>
              <w:rPr>
                <w:rFonts w:hint="eastAsia" w:ascii="仿宋_GB2312" w:hAnsi="仿宋_GB2312" w:eastAsia="仿宋_GB2312" w:cs="仿宋_GB2312"/>
                <w:b w:val="0"/>
                <w:bCs w:val="0"/>
                <w:sz w:val="24"/>
                <w:szCs w:val="24"/>
                <w:u w:val="none"/>
                <w:lang w:eastAsia="zh-CN"/>
              </w:rPr>
              <w:t>县</w:t>
            </w:r>
            <w:r>
              <w:rPr>
                <w:rFonts w:hint="eastAsia" w:ascii="仿宋_GB2312" w:hAnsi="仿宋_GB2312" w:eastAsia="仿宋_GB2312" w:cs="仿宋_GB2312"/>
                <w:b w:val="0"/>
                <w:bCs w:val="0"/>
                <w:sz w:val="24"/>
                <w:szCs w:val="24"/>
                <w:u w:val="none"/>
              </w:rPr>
              <w:t>生态环境</w:t>
            </w:r>
            <w:r>
              <w:rPr>
                <w:rFonts w:hint="eastAsia" w:ascii="仿宋_GB2312" w:hAnsi="仿宋_GB2312" w:eastAsia="仿宋_GB2312" w:cs="仿宋_GB2312"/>
                <w:b w:val="0"/>
                <w:bCs w:val="0"/>
                <w:sz w:val="24"/>
                <w:szCs w:val="24"/>
                <w:u w:val="none"/>
                <w:lang w:eastAsia="zh-CN"/>
              </w:rPr>
              <w:t>分局</w:t>
            </w:r>
            <w:r>
              <w:rPr>
                <w:rFonts w:hint="eastAsia" w:ascii="仿宋_GB2312" w:hAnsi="仿宋_GB2312" w:eastAsia="仿宋_GB2312" w:cs="仿宋_GB2312"/>
                <w:b w:val="0"/>
                <w:bCs w:val="0"/>
                <w:sz w:val="24"/>
                <w:szCs w:val="24"/>
                <w:u w:val="none"/>
              </w:rPr>
              <w:t>分管</w:t>
            </w:r>
            <w:r>
              <w:rPr>
                <w:rFonts w:hint="eastAsia" w:ascii="仿宋_GB2312" w:hAnsi="仿宋_GB2312" w:eastAsia="仿宋_GB2312" w:cs="仿宋_GB2312"/>
                <w:b w:val="0"/>
                <w:bCs w:val="0"/>
                <w:sz w:val="24"/>
                <w:szCs w:val="24"/>
                <w:u w:val="none"/>
                <w:lang w:eastAsia="zh-CN"/>
              </w:rPr>
              <w:t>局</w:t>
            </w:r>
            <w:r>
              <w:rPr>
                <w:rFonts w:hint="eastAsia" w:ascii="仿宋_GB2312" w:hAnsi="仿宋_GB2312" w:eastAsia="仿宋_GB2312" w:cs="仿宋_GB2312"/>
                <w:b w:val="0"/>
                <w:bCs w:val="0"/>
                <w:sz w:val="24"/>
                <w:szCs w:val="24"/>
                <w:u w:val="none"/>
              </w:rPr>
              <w:t>领导意见</w:t>
            </w:r>
          </w:p>
        </w:tc>
        <w:tc>
          <w:tcPr>
            <w:tcW w:w="7175" w:type="dxa"/>
            <w:gridSpan w:val="2"/>
            <w:tcBorders>
              <w:top w:val="single" w:color="auto" w:sz="8" w:space="0"/>
              <w:left w:val="single" w:color="auto" w:sz="8" w:space="0"/>
              <w:bottom w:val="single" w:color="auto" w:sz="8" w:space="0"/>
              <w:right w:val="single" w:color="auto" w:sz="8" w:space="0"/>
            </w:tcBorders>
            <w:noWrap w:val="0"/>
            <w:vAlign w:val="top"/>
          </w:tcPr>
          <w:p>
            <w:pPr>
              <w:keepNext w:val="0"/>
              <w:keepLines w:val="0"/>
              <w:pageBreakBefore w:val="0"/>
              <w:widowControl/>
              <w:kinsoku/>
              <w:wordWrap/>
              <w:overflowPunct/>
              <w:topLinePunct w:val="0"/>
              <w:autoSpaceDE/>
              <w:autoSpaceDN/>
              <w:bidi w:val="0"/>
              <w:spacing w:line="560" w:lineRule="exact"/>
              <w:ind w:firstLine="0" w:firstLineChars="0"/>
              <w:textAlignment w:val="auto"/>
              <w:rPr>
                <w:rFonts w:hint="eastAsia" w:ascii="仿宋_GB2312" w:hAnsi="仿宋_GB2312" w:eastAsia="仿宋_GB2312" w:cs="仿宋_GB2312"/>
                <w:b w:val="0"/>
                <w:bCs w:val="0"/>
                <w:sz w:val="24"/>
                <w:szCs w:val="24"/>
                <w:u w:val="none"/>
              </w:rPr>
            </w:pPr>
          </w:p>
          <w:p>
            <w:pPr>
              <w:keepNext w:val="0"/>
              <w:keepLines w:val="0"/>
              <w:pageBreakBefore w:val="0"/>
              <w:widowControl/>
              <w:kinsoku/>
              <w:wordWrap w:val="0"/>
              <w:overflowPunct/>
              <w:topLinePunct w:val="0"/>
              <w:autoSpaceDE/>
              <w:autoSpaceDN/>
              <w:bidi w:val="0"/>
              <w:adjustRightInd w:val="0"/>
              <w:snapToGrid w:val="0"/>
              <w:spacing w:line="560" w:lineRule="exact"/>
              <w:ind w:firstLine="0" w:firstLineChars="0"/>
              <w:jc w:val="right"/>
              <w:textAlignment w:val="auto"/>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eastAsia="zh-CN"/>
              </w:rPr>
              <w:t>签字：</w:t>
            </w:r>
            <w:r>
              <w:rPr>
                <w:rFonts w:hint="eastAsia" w:ascii="仿宋_GB2312" w:hAnsi="仿宋_GB2312" w:eastAsia="仿宋_GB2312" w:cs="仿宋_GB2312"/>
                <w:b w:val="0"/>
                <w:bCs w:val="0"/>
                <w:sz w:val="24"/>
                <w:szCs w:val="24"/>
                <w:u w:val="none"/>
                <w:lang w:val="en-US" w:eastAsia="zh-CN"/>
              </w:rPr>
              <w:t xml:space="preserve">       </w:t>
            </w:r>
          </w:p>
          <w:p>
            <w:pPr>
              <w:keepNext w:val="0"/>
              <w:keepLines w:val="0"/>
              <w:pageBreakBefore w:val="0"/>
              <w:widowControl/>
              <w:kinsoku/>
              <w:wordWrap w:val="0"/>
              <w:overflowPunct/>
              <w:topLinePunct w:val="0"/>
              <w:autoSpaceDE/>
              <w:autoSpaceDN/>
              <w:bidi w:val="0"/>
              <w:adjustRightInd w:val="0"/>
              <w:snapToGrid w:val="0"/>
              <w:spacing w:line="560" w:lineRule="exact"/>
              <w:ind w:firstLine="0" w:firstLineChars="0"/>
              <w:jc w:val="right"/>
              <w:textAlignment w:val="auto"/>
              <w:rPr>
                <w:rFonts w:hint="eastAsia" w:ascii="仿宋_GB2312" w:hAnsi="仿宋_GB2312" w:eastAsia="仿宋_GB2312" w:cs="仿宋_GB2312"/>
                <w:b w:val="0"/>
                <w:bCs w:val="0"/>
                <w:sz w:val="24"/>
                <w:szCs w:val="24"/>
                <w:u w:val="none"/>
                <w:lang w:val="en-US"/>
              </w:rPr>
            </w:pPr>
            <w:r>
              <w:rPr>
                <w:rFonts w:hint="eastAsia" w:ascii="仿宋_GB2312" w:hAnsi="仿宋_GB2312" w:eastAsia="仿宋_GB2312" w:cs="仿宋_GB2312"/>
                <w:b w:val="0"/>
                <w:bCs w:val="0"/>
                <w:sz w:val="24"/>
                <w:szCs w:val="24"/>
                <w:u w:val="none"/>
                <w:lang w:eastAsia="zh-CN"/>
              </w:rPr>
              <w:t>年</w:t>
            </w:r>
            <w:r>
              <w:rPr>
                <w:rFonts w:hint="eastAsia" w:ascii="仿宋_GB2312" w:hAnsi="仿宋_GB2312" w:eastAsia="仿宋_GB2312" w:cs="仿宋_GB2312"/>
                <w:b w:val="0"/>
                <w:bCs w:val="0"/>
                <w:sz w:val="24"/>
                <w:szCs w:val="24"/>
                <w:u w:val="none"/>
                <w:lang w:val="en-US" w:eastAsia="zh-CN"/>
              </w:rPr>
              <w:t xml:space="preserve">  月  日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15" w:hRule="atLeast"/>
          <w:jc w:val="center"/>
        </w:trPr>
        <w:tc>
          <w:tcPr>
            <w:tcW w:w="1545" w:type="dxa"/>
            <w:vMerge w:val="restart"/>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auto"/>
              <w:rPr>
                <w:rFonts w:hint="eastAsia" w:ascii="仿宋_GB2312" w:hAnsi="仿宋_GB2312" w:eastAsia="仿宋_GB2312" w:cs="仿宋_GB2312"/>
                <w:b w:val="0"/>
                <w:bCs w:val="0"/>
                <w:sz w:val="24"/>
                <w:szCs w:val="24"/>
                <w:u w:val="none"/>
              </w:rPr>
            </w:pPr>
            <w:r>
              <w:rPr>
                <w:rFonts w:hint="eastAsia" w:ascii="仿宋_GB2312" w:hAnsi="仿宋_GB2312" w:eastAsia="仿宋_GB2312" w:cs="仿宋_GB2312"/>
                <w:b w:val="0"/>
                <w:bCs w:val="0"/>
                <w:sz w:val="24"/>
                <w:szCs w:val="24"/>
                <w:u w:val="none"/>
                <w:lang w:eastAsia="zh-CN"/>
              </w:rPr>
              <w:t>县</w:t>
            </w:r>
            <w:r>
              <w:rPr>
                <w:rFonts w:hint="eastAsia" w:ascii="仿宋_GB2312" w:hAnsi="仿宋_GB2312" w:eastAsia="仿宋_GB2312" w:cs="仿宋_GB2312"/>
                <w:b w:val="0"/>
                <w:bCs w:val="0"/>
                <w:sz w:val="24"/>
                <w:szCs w:val="24"/>
                <w:u w:val="none"/>
              </w:rPr>
              <w:t>突发环境事件应急指挥</w:t>
            </w:r>
            <w:r>
              <w:rPr>
                <w:rFonts w:hint="eastAsia" w:ascii="仿宋_GB2312" w:hAnsi="仿宋_GB2312" w:eastAsia="仿宋_GB2312" w:cs="仿宋_GB2312"/>
                <w:b w:val="0"/>
                <w:bCs w:val="0"/>
                <w:sz w:val="24"/>
                <w:szCs w:val="24"/>
                <w:u w:val="none"/>
                <w:lang w:eastAsia="zh-CN"/>
              </w:rPr>
              <w:t>中心</w:t>
            </w:r>
            <w:r>
              <w:rPr>
                <w:rFonts w:hint="eastAsia" w:ascii="仿宋_GB2312" w:hAnsi="仿宋_GB2312" w:eastAsia="仿宋_GB2312" w:cs="仿宋_GB2312"/>
                <w:b w:val="0"/>
                <w:bCs w:val="0"/>
                <w:sz w:val="24"/>
                <w:szCs w:val="24"/>
                <w:u w:val="none"/>
              </w:rPr>
              <w:t>意见</w:t>
            </w:r>
          </w:p>
        </w:tc>
        <w:tc>
          <w:tcPr>
            <w:tcW w:w="3661" w:type="dxa"/>
            <w:tcBorders>
              <w:top w:val="single" w:color="auto" w:sz="8" w:space="0"/>
              <w:left w:val="single" w:color="auto" w:sz="8" w:space="0"/>
              <w:bottom w:val="single" w:color="auto" w:sz="8" w:space="0"/>
              <w:right w:val="single" w:color="auto" w:sz="8" w:space="0"/>
            </w:tcBorders>
            <w:noWrap w:val="0"/>
            <w:vAlign w:val="top"/>
          </w:tcPr>
          <w:p>
            <w:pPr>
              <w:pStyle w:val="3"/>
              <w:keepNext w:val="0"/>
              <w:keepLines w:val="0"/>
              <w:pageBreakBefore w:val="0"/>
              <w:kinsoku/>
              <w:wordWrap/>
              <w:overflowPunct/>
              <w:topLinePunct w:val="0"/>
              <w:autoSpaceDE/>
              <w:autoSpaceDN/>
              <w:bidi w:val="0"/>
              <w:spacing w:line="560" w:lineRule="exact"/>
              <w:ind w:firstLine="0" w:firstLineChars="0"/>
              <w:textAlignment w:val="auto"/>
              <w:rPr>
                <w:rFonts w:hint="eastAsia" w:ascii="仿宋_GB2312" w:hAnsi="仿宋_GB2312" w:eastAsia="仿宋_GB2312" w:cs="仿宋_GB2312"/>
                <w:b w:val="0"/>
                <w:bCs w:val="0"/>
                <w:u w:val="none"/>
                <w:lang w:eastAsia="zh-CN"/>
              </w:rPr>
            </w:pPr>
          </w:p>
          <w:p>
            <w:pPr>
              <w:keepNext w:val="0"/>
              <w:keepLines w:val="0"/>
              <w:pageBreakBefore w:val="0"/>
              <w:widowControl/>
              <w:kinsoku/>
              <w:wordWrap/>
              <w:overflowPunct/>
              <w:topLinePunct w:val="0"/>
              <w:autoSpaceDE/>
              <w:autoSpaceDN/>
              <w:bidi w:val="0"/>
              <w:adjustRightInd w:val="0"/>
              <w:snapToGrid w:val="0"/>
              <w:spacing w:line="560" w:lineRule="exact"/>
              <w:ind w:firstLine="0" w:firstLineChars="0"/>
              <w:textAlignment w:val="auto"/>
              <w:rPr>
                <w:rFonts w:hint="eastAsia" w:ascii="仿宋_GB2312" w:hAnsi="仿宋_GB2312" w:eastAsia="仿宋_GB2312" w:cs="仿宋_GB2312"/>
                <w:b w:val="0"/>
                <w:bCs w:val="0"/>
                <w:sz w:val="24"/>
                <w:szCs w:val="24"/>
                <w:u w:val="none"/>
                <w:lang w:eastAsia="zh-CN"/>
              </w:rPr>
            </w:pPr>
          </w:p>
          <w:p>
            <w:pPr>
              <w:keepNext w:val="0"/>
              <w:keepLines w:val="0"/>
              <w:pageBreakBefore w:val="0"/>
              <w:widowControl/>
              <w:kinsoku/>
              <w:wordWrap w:val="0"/>
              <w:overflowPunct/>
              <w:topLinePunct w:val="0"/>
              <w:autoSpaceDE/>
              <w:autoSpaceDN/>
              <w:bidi w:val="0"/>
              <w:adjustRightInd w:val="0"/>
              <w:snapToGrid w:val="0"/>
              <w:spacing w:line="560" w:lineRule="exact"/>
              <w:ind w:firstLine="0" w:firstLineChars="0"/>
              <w:jc w:val="right"/>
              <w:textAlignment w:val="auto"/>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eastAsia="zh-CN"/>
              </w:rPr>
              <w:t>签字：</w:t>
            </w:r>
            <w:r>
              <w:rPr>
                <w:rFonts w:hint="eastAsia" w:ascii="仿宋_GB2312" w:hAnsi="仿宋_GB2312" w:eastAsia="仿宋_GB2312" w:cs="仿宋_GB2312"/>
                <w:b w:val="0"/>
                <w:bCs w:val="0"/>
                <w:sz w:val="24"/>
                <w:szCs w:val="24"/>
                <w:u w:val="none"/>
                <w:lang w:val="en-US" w:eastAsia="zh-CN"/>
              </w:rPr>
              <w:t xml:space="preserve">  </w:t>
            </w:r>
          </w:p>
          <w:p>
            <w:pPr>
              <w:keepNext w:val="0"/>
              <w:keepLines w:val="0"/>
              <w:pageBreakBefore w:val="0"/>
              <w:widowControl/>
              <w:kinsoku/>
              <w:wordWrap w:val="0"/>
              <w:overflowPunct/>
              <w:topLinePunct w:val="0"/>
              <w:autoSpaceDE/>
              <w:autoSpaceDN/>
              <w:bidi w:val="0"/>
              <w:adjustRightInd w:val="0"/>
              <w:snapToGrid w:val="0"/>
              <w:spacing w:line="560" w:lineRule="exact"/>
              <w:ind w:firstLine="0" w:firstLineChars="0"/>
              <w:jc w:val="right"/>
              <w:textAlignment w:val="auto"/>
              <w:rPr>
                <w:rFonts w:hint="eastAsia" w:ascii="仿宋_GB2312" w:hAnsi="仿宋_GB2312" w:eastAsia="仿宋_GB2312" w:cs="仿宋_GB2312"/>
                <w:b w:val="0"/>
                <w:bCs w:val="0"/>
                <w:sz w:val="30"/>
                <w:szCs w:val="30"/>
                <w:u w:val="none"/>
                <w:lang w:val="en-US"/>
              </w:rPr>
            </w:pPr>
            <w:r>
              <w:rPr>
                <w:rFonts w:hint="eastAsia" w:ascii="仿宋_GB2312" w:hAnsi="仿宋_GB2312" w:eastAsia="仿宋_GB2312" w:cs="仿宋_GB2312"/>
                <w:b w:val="0"/>
                <w:bCs w:val="0"/>
                <w:sz w:val="24"/>
                <w:szCs w:val="24"/>
                <w:u w:val="none"/>
                <w:lang w:eastAsia="zh-CN"/>
              </w:rPr>
              <w:t>年</w:t>
            </w:r>
            <w:r>
              <w:rPr>
                <w:rFonts w:hint="eastAsia" w:ascii="仿宋_GB2312" w:hAnsi="仿宋_GB2312" w:eastAsia="仿宋_GB2312" w:cs="仿宋_GB2312"/>
                <w:b w:val="0"/>
                <w:bCs w:val="0"/>
                <w:sz w:val="24"/>
                <w:szCs w:val="24"/>
                <w:u w:val="none"/>
                <w:lang w:val="en-US" w:eastAsia="zh-CN"/>
              </w:rPr>
              <w:t xml:space="preserve">  月  日  </w:t>
            </w:r>
          </w:p>
        </w:tc>
        <w:tc>
          <w:tcPr>
            <w:tcW w:w="3514" w:type="dxa"/>
            <w:tcBorders>
              <w:top w:val="single" w:color="auto" w:sz="8" w:space="0"/>
              <w:left w:val="single" w:color="auto" w:sz="8" w:space="0"/>
              <w:bottom w:val="single" w:color="auto" w:sz="8" w:space="0"/>
              <w:right w:val="single" w:color="auto" w:sz="8"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right"/>
              <w:textAlignment w:val="auto"/>
              <w:rPr>
                <w:rFonts w:hint="eastAsia" w:ascii="仿宋_GB2312" w:hAnsi="仿宋_GB2312" w:eastAsia="仿宋_GB2312" w:cs="仿宋_GB2312"/>
                <w:b w:val="0"/>
                <w:bCs w:val="0"/>
                <w:sz w:val="24"/>
                <w:szCs w:val="24"/>
                <w:u w:val="none"/>
                <w:lang w:eastAsia="zh-CN"/>
              </w:rPr>
            </w:pPr>
          </w:p>
          <w:p>
            <w:pPr>
              <w:pStyle w:val="3"/>
              <w:keepNext w:val="0"/>
              <w:keepLines w:val="0"/>
              <w:pageBreakBefore w:val="0"/>
              <w:kinsoku/>
              <w:wordWrap/>
              <w:overflowPunct/>
              <w:topLinePunct w:val="0"/>
              <w:autoSpaceDE/>
              <w:autoSpaceDN/>
              <w:bidi w:val="0"/>
              <w:spacing w:line="560" w:lineRule="exact"/>
              <w:ind w:firstLine="0" w:firstLineChars="0"/>
              <w:jc w:val="right"/>
              <w:textAlignment w:val="auto"/>
              <w:rPr>
                <w:rFonts w:hint="eastAsia" w:ascii="仿宋_GB2312" w:hAnsi="仿宋_GB2312" w:eastAsia="仿宋_GB2312" w:cs="仿宋_GB2312"/>
                <w:b w:val="0"/>
                <w:bCs w:val="0"/>
                <w:u w:val="none"/>
                <w:lang w:eastAsia="zh-CN"/>
              </w:rPr>
            </w:pPr>
          </w:p>
          <w:p>
            <w:pPr>
              <w:keepNext w:val="0"/>
              <w:keepLines w:val="0"/>
              <w:pageBreakBefore w:val="0"/>
              <w:widowControl/>
              <w:kinsoku/>
              <w:wordWrap w:val="0"/>
              <w:overflowPunct/>
              <w:topLinePunct w:val="0"/>
              <w:autoSpaceDE/>
              <w:autoSpaceDN/>
              <w:bidi w:val="0"/>
              <w:adjustRightInd w:val="0"/>
              <w:snapToGrid w:val="0"/>
              <w:spacing w:line="560" w:lineRule="exact"/>
              <w:ind w:firstLine="0" w:firstLineChars="0"/>
              <w:jc w:val="right"/>
              <w:textAlignment w:val="auto"/>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eastAsia="zh-CN"/>
              </w:rPr>
              <w:t>签字：</w:t>
            </w:r>
            <w:r>
              <w:rPr>
                <w:rFonts w:hint="eastAsia" w:ascii="仿宋_GB2312" w:hAnsi="仿宋_GB2312" w:eastAsia="仿宋_GB2312" w:cs="仿宋_GB2312"/>
                <w:b w:val="0"/>
                <w:bCs w:val="0"/>
                <w:sz w:val="24"/>
                <w:szCs w:val="24"/>
                <w:u w:val="none"/>
                <w:lang w:val="en-US" w:eastAsia="zh-CN"/>
              </w:rPr>
              <w:t xml:space="preserve">  </w:t>
            </w:r>
          </w:p>
          <w:p>
            <w:pPr>
              <w:keepNext w:val="0"/>
              <w:keepLines w:val="0"/>
              <w:pageBreakBefore w:val="0"/>
              <w:widowControl/>
              <w:kinsoku/>
              <w:wordWrap w:val="0"/>
              <w:overflowPunct/>
              <w:topLinePunct w:val="0"/>
              <w:autoSpaceDE/>
              <w:autoSpaceDN/>
              <w:bidi w:val="0"/>
              <w:adjustRightInd w:val="0"/>
              <w:snapToGrid w:val="0"/>
              <w:spacing w:line="560" w:lineRule="exact"/>
              <w:ind w:firstLine="0" w:firstLineChars="0"/>
              <w:jc w:val="right"/>
              <w:textAlignment w:val="auto"/>
              <w:rPr>
                <w:rFonts w:hint="eastAsia" w:ascii="仿宋_GB2312" w:hAnsi="仿宋_GB2312" w:eastAsia="仿宋_GB2312" w:cs="仿宋_GB2312"/>
                <w:b w:val="0"/>
                <w:bCs w:val="0"/>
                <w:sz w:val="30"/>
                <w:szCs w:val="30"/>
                <w:u w:val="none"/>
                <w:lang w:val="en-US"/>
              </w:rPr>
            </w:pPr>
            <w:r>
              <w:rPr>
                <w:rFonts w:hint="eastAsia" w:ascii="仿宋_GB2312" w:hAnsi="仿宋_GB2312" w:eastAsia="仿宋_GB2312" w:cs="仿宋_GB2312"/>
                <w:b w:val="0"/>
                <w:bCs w:val="0"/>
                <w:sz w:val="24"/>
                <w:szCs w:val="24"/>
                <w:u w:val="none"/>
                <w:lang w:eastAsia="zh-CN"/>
              </w:rPr>
              <w:t>年</w:t>
            </w:r>
            <w:r>
              <w:rPr>
                <w:rFonts w:hint="eastAsia" w:ascii="仿宋_GB2312" w:hAnsi="仿宋_GB2312" w:eastAsia="仿宋_GB2312" w:cs="仿宋_GB2312"/>
                <w:b w:val="0"/>
                <w:bCs w:val="0"/>
                <w:sz w:val="24"/>
                <w:szCs w:val="24"/>
                <w:u w:val="none"/>
                <w:lang w:val="en-US" w:eastAsia="zh-CN"/>
              </w:rPr>
              <w:t xml:space="preserve">  月  日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0" w:hRule="atLeast"/>
          <w:jc w:val="center"/>
        </w:trPr>
        <w:tc>
          <w:tcPr>
            <w:tcW w:w="1545" w:type="dxa"/>
            <w:vMerge w:val="continue"/>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spacing w:line="560" w:lineRule="exact"/>
              <w:ind w:firstLine="0" w:firstLineChars="0"/>
              <w:jc w:val="left"/>
              <w:textAlignment w:val="auto"/>
              <w:rPr>
                <w:rFonts w:hint="eastAsia" w:ascii="仿宋_GB2312" w:hAnsi="仿宋_GB2312" w:eastAsia="仿宋_GB2312" w:cs="仿宋_GB2312"/>
                <w:b w:val="0"/>
                <w:bCs w:val="0"/>
                <w:sz w:val="24"/>
                <w:szCs w:val="24"/>
                <w:u w:val="none"/>
              </w:rPr>
            </w:pPr>
          </w:p>
        </w:tc>
        <w:tc>
          <w:tcPr>
            <w:tcW w:w="7175" w:type="dxa"/>
            <w:gridSpan w:val="2"/>
            <w:tcBorders>
              <w:top w:val="single" w:color="auto" w:sz="8" w:space="0"/>
              <w:left w:val="single" w:color="auto" w:sz="8" w:space="0"/>
              <w:bottom w:val="single" w:color="auto" w:sz="8" w:space="0"/>
              <w:right w:val="single" w:color="auto" w:sz="8" w:space="0"/>
            </w:tcBorders>
            <w:noWrap w:val="0"/>
            <w:vAlign w:val="top"/>
          </w:tcPr>
          <w:p>
            <w:pPr>
              <w:keepNext w:val="0"/>
              <w:keepLines w:val="0"/>
              <w:pageBreakBefore w:val="0"/>
              <w:widowControl/>
              <w:kinsoku/>
              <w:wordWrap/>
              <w:overflowPunct/>
              <w:topLinePunct w:val="0"/>
              <w:autoSpaceDE/>
              <w:autoSpaceDN/>
              <w:bidi w:val="0"/>
              <w:spacing w:line="560" w:lineRule="exact"/>
              <w:ind w:firstLine="0" w:firstLineChars="0"/>
              <w:textAlignment w:val="auto"/>
              <w:rPr>
                <w:rFonts w:hint="eastAsia" w:ascii="仿宋_GB2312" w:hAnsi="仿宋_GB2312" w:eastAsia="仿宋_GB2312" w:cs="仿宋_GB2312"/>
                <w:b w:val="0"/>
                <w:bCs w:val="0"/>
                <w:sz w:val="24"/>
                <w:szCs w:val="24"/>
                <w:u w:val="none"/>
              </w:rPr>
            </w:pPr>
          </w:p>
          <w:p>
            <w:pPr>
              <w:keepNext w:val="0"/>
              <w:keepLines w:val="0"/>
              <w:pageBreakBefore w:val="0"/>
              <w:widowControl/>
              <w:kinsoku/>
              <w:wordWrap w:val="0"/>
              <w:overflowPunct/>
              <w:topLinePunct w:val="0"/>
              <w:autoSpaceDE/>
              <w:autoSpaceDN/>
              <w:bidi w:val="0"/>
              <w:adjustRightInd w:val="0"/>
              <w:snapToGrid w:val="0"/>
              <w:spacing w:line="560" w:lineRule="exact"/>
              <w:ind w:firstLine="0" w:firstLineChars="0"/>
              <w:jc w:val="right"/>
              <w:textAlignment w:val="auto"/>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eastAsia="zh-CN"/>
              </w:rPr>
              <w:t>签字：</w:t>
            </w:r>
            <w:r>
              <w:rPr>
                <w:rFonts w:hint="eastAsia" w:ascii="仿宋_GB2312" w:hAnsi="仿宋_GB2312" w:eastAsia="仿宋_GB2312" w:cs="仿宋_GB2312"/>
                <w:b w:val="0"/>
                <w:bCs w:val="0"/>
                <w:sz w:val="24"/>
                <w:szCs w:val="24"/>
                <w:u w:val="none"/>
                <w:lang w:val="en-US" w:eastAsia="zh-CN"/>
              </w:rPr>
              <w:t xml:space="preserve">    </w:t>
            </w:r>
          </w:p>
          <w:p>
            <w:pPr>
              <w:keepNext w:val="0"/>
              <w:keepLines w:val="0"/>
              <w:pageBreakBefore w:val="0"/>
              <w:widowControl/>
              <w:kinsoku/>
              <w:wordWrap w:val="0"/>
              <w:overflowPunct/>
              <w:topLinePunct w:val="0"/>
              <w:autoSpaceDE/>
              <w:autoSpaceDN/>
              <w:bidi w:val="0"/>
              <w:adjustRightInd w:val="0"/>
              <w:snapToGrid w:val="0"/>
              <w:spacing w:line="560" w:lineRule="exact"/>
              <w:ind w:firstLine="0" w:firstLineChars="0"/>
              <w:jc w:val="right"/>
              <w:textAlignment w:val="auto"/>
              <w:rPr>
                <w:rFonts w:hint="eastAsia" w:ascii="仿宋_GB2312" w:hAnsi="仿宋_GB2312" w:eastAsia="仿宋_GB2312" w:cs="仿宋_GB2312"/>
                <w:b w:val="0"/>
                <w:bCs w:val="0"/>
                <w:sz w:val="24"/>
                <w:szCs w:val="24"/>
                <w:u w:val="none"/>
                <w:lang w:val="en-US"/>
              </w:rPr>
            </w:pPr>
            <w:r>
              <w:rPr>
                <w:rFonts w:hint="eastAsia" w:ascii="仿宋_GB2312" w:hAnsi="仿宋_GB2312" w:eastAsia="仿宋_GB2312" w:cs="仿宋_GB2312"/>
                <w:b w:val="0"/>
                <w:bCs w:val="0"/>
                <w:sz w:val="24"/>
                <w:szCs w:val="24"/>
                <w:u w:val="none"/>
                <w:lang w:eastAsia="zh-CN"/>
              </w:rPr>
              <w:t>年</w:t>
            </w:r>
            <w:r>
              <w:rPr>
                <w:rFonts w:hint="eastAsia" w:ascii="仿宋_GB2312" w:hAnsi="仿宋_GB2312" w:eastAsia="仿宋_GB2312" w:cs="仿宋_GB2312"/>
                <w:b w:val="0"/>
                <w:bCs w:val="0"/>
                <w:sz w:val="24"/>
                <w:szCs w:val="24"/>
                <w:u w:val="none"/>
                <w:lang w:val="en-US" w:eastAsia="zh-CN"/>
              </w:rPr>
              <w:t xml:space="preserve">  月  日     </w:t>
            </w:r>
          </w:p>
        </w:tc>
      </w:tr>
      <w:bookmarkEnd w:id="239"/>
      <w:bookmarkEnd w:id="240"/>
    </w:tbl>
    <w:p>
      <w:pPr>
        <w:pStyle w:val="3"/>
        <w:keepNext w:val="0"/>
        <w:keepLines w:val="0"/>
        <w:pageBreakBefore w:val="0"/>
        <w:kinsoku/>
        <w:overflowPunct/>
        <w:topLinePunct w:val="0"/>
        <w:autoSpaceDE/>
        <w:autoSpaceDN/>
        <w:bidi w:val="0"/>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b/>
          <w:sz w:val="24"/>
          <w:szCs w:val="24"/>
          <w:u w:val="none"/>
        </w:rPr>
        <w:t>备注：</w:t>
      </w:r>
      <w:r>
        <w:rPr>
          <w:rFonts w:hint="eastAsia" w:ascii="仿宋_GB2312" w:hAnsi="仿宋_GB2312" w:eastAsia="仿宋_GB2312" w:cs="仿宋_GB2312"/>
          <w:b w:val="0"/>
          <w:sz w:val="24"/>
          <w:szCs w:val="24"/>
          <w:u w:val="none"/>
          <w:lang w:eastAsia="zh-CN"/>
        </w:rPr>
        <w:t>县级层面一级、</w:t>
      </w:r>
      <w:r>
        <w:rPr>
          <w:rFonts w:hint="eastAsia" w:ascii="仿宋_GB2312" w:hAnsi="仿宋_GB2312" w:eastAsia="仿宋_GB2312" w:cs="仿宋_GB2312"/>
          <w:sz w:val="24"/>
          <w:szCs w:val="24"/>
          <w:u w:val="none"/>
        </w:rPr>
        <w:t>二级</w:t>
      </w:r>
      <w:r>
        <w:rPr>
          <w:rFonts w:hint="eastAsia" w:ascii="仿宋_GB2312" w:hAnsi="仿宋_GB2312" w:eastAsia="仿宋_GB2312" w:cs="仿宋_GB2312"/>
          <w:sz w:val="24"/>
          <w:szCs w:val="24"/>
          <w:u w:val="none"/>
          <w:lang w:eastAsia="zh-CN"/>
        </w:rPr>
        <w:t>响应由县</w:t>
      </w:r>
      <w:r>
        <w:rPr>
          <w:rFonts w:hint="eastAsia" w:ascii="仿宋_GB2312" w:hAnsi="仿宋_GB2312" w:eastAsia="仿宋_GB2312" w:cs="仿宋_GB2312"/>
          <w:sz w:val="24"/>
          <w:szCs w:val="24"/>
          <w:u w:val="none"/>
        </w:rPr>
        <w:t>突发环境事件应急指挥</w:t>
      </w:r>
      <w:r>
        <w:rPr>
          <w:rFonts w:hint="eastAsia" w:ascii="仿宋_GB2312" w:hAnsi="仿宋_GB2312" w:eastAsia="仿宋_GB2312" w:cs="仿宋_GB2312"/>
          <w:sz w:val="24"/>
          <w:szCs w:val="24"/>
          <w:u w:val="none"/>
          <w:lang w:eastAsia="zh-CN"/>
        </w:rPr>
        <w:t>中心决定</w:t>
      </w:r>
      <w:r>
        <w:rPr>
          <w:rFonts w:hint="eastAsia" w:ascii="仿宋_GB2312" w:hAnsi="仿宋_GB2312" w:eastAsia="仿宋_GB2312" w:cs="仿宋_GB2312"/>
          <w:sz w:val="24"/>
          <w:szCs w:val="24"/>
          <w:u w:val="none"/>
        </w:rPr>
        <w:t>（分管副</w:t>
      </w:r>
      <w:r>
        <w:rPr>
          <w:rFonts w:hint="eastAsia" w:ascii="仿宋_GB2312" w:hAnsi="仿宋_GB2312" w:eastAsia="仿宋_GB2312" w:cs="仿宋_GB2312"/>
          <w:sz w:val="24"/>
          <w:szCs w:val="24"/>
          <w:u w:val="none"/>
          <w:lang w:eastAsia="zh-CN"/>
        </w:rPr>
        <w:t>县</w:t>
      </w:r>
      <w:r>
        <w:rPr>
          <w:rFonts w:hint="eastAsia" w:ascii="仿宋_GB2312" w:hAnsi="仿宋_GB2312" w:eastAsia="仿宋_GB2312" w:cs="仿宋_GB2312"/>
          <w:sz w:val="24"/>
          <w:szCs w:val="24"/>
          <w:u w:val="none"/>
        </w:rPr>
        <w:t>长）；三级响应</w:t>
      </w:r>
      <w:r>
        <w:rPr>
          <w:rFonts w:hint="eastAsia" w:ascii="仿宋_GB2312" w:hAnsi="仿宋_GB2312" w:eastAsia="仿宋_GB2312" w:cs="仿宋_GB2312"/>
          <w:sz w:val="24"/>
          <w:szCs w:val="24"/>
          <w:u w:val="none"/>
          <w:lang w:eastAsia="zh-CN"/>
        </w:rPr>
        <w:t>由县</w:t>
      </w:r>
      <w:r>
        <w:rPr>
          <w:rFonts w:hint="eastAsia" w:ascii="仿宋_GB2312" w:hAnsi="仿宋_GB2312" w:eastAsia="仿宋_GB2312" w:cs="仿宋_GB2312"/>
          <w:sz w:val="24"/>
          <w:szCs w:val="24"/>
          <w:u w:val="none"/>
        </w:rPr>
        <w:t>突发环境事件应急指挥</w:t>
      </w:r>
      <w:r>
        <w:rPr>
          <w:rFonts w:hint="eastAsia" w:ascii="仿宋_GB2312" w:hAnsi="仿宋_GB2312" w:eastAsia="仿宋_GB2312" w:cs="仿宋_GB2312"/>
          <w:sz w:val="24"/>
          <w:szCs w:val="24"/>
          <w:u w:val="none"/>
          <w:lang w:eastAsia="zh-CN"/>
        </w:rPr>
        <w:t>中心办公室（县生态环境分局）决定，同时报总指挥。</w:t>
      </w:r>
      <w:r>
        <w:rPr>
          <w:rFonts w:hint="eastAsia" w:ascii="仿宋_GB2312" w:hAnsi="仿宋_GB2312" w:eastAsia="仿宋_GB2312" w:cs="仿宋_GB2312"/>
          <w:kern w:val="0"/>
          <w:sz w:val="24"/>
          <w:szCs w:val="24"/>
          <w:u w:val="none"/>
          <w:lang w:eastAsia="zh-CN"/>
        </w:rPr>
        <w:t>因情况紧急，可先</w:t>
      </w:r>
      <w:r>
        <w:rPr>
          <w:rFonts w:hint="eastAsia" w:ascii="仿宋_GB2312" w:hAnsi="仿宋_GB2312" w:eastAsia="仿宋_GB2312" w:cs="仿宋_GB2312"/>
          <w:kern w:val="0"/>
          <w:sz w:val="24"/>
          <w:szCs w:val="24"/>
          <w:u w:val="none"/>
          <w:lang w:val="en-US" w:eastAsia="zh-CN"/>
        </w:rPr>
        <w:t>采用</w:t>
      </w:r>
      <w:r>
        <w:rPr>
          <w:rFonts w:hint="eastAsia" w:ascii="仿宋_GB2312" w:hAnsi="仿宋_GB2312" w:eastAsia="仿宋_GB2312" w:cs="仿宋_GB2312"/>
          <w:kern w:val="0"/>
          <w:sz w:val="24"/>
          <w:szCs w:val="24"/>
          <w:u w:val="none"/>
          <w:lang w:eastAsia="zh-CN"/>
        </w:rPr>
        <w:t>电话等方式请示，</w:t>
      </w:r>
      <w:r>
        <w:rPr>
          <w:rFonts w:hint="eastAsia" w:ascii="仿宋_GB2312" w:hAnsi="仿宋_GB2312" w:eastAsia="仿宋_GB2312" w:cs="仿宋_GB2312"/>
          <w:kern w:val="0"/>
          <w:sz w:val="24"/>
          <w:szCs w:val="24"/>
          <w:u w:val="none"/>
          <w:lang w:val="en-US" w:eastAsia="zh-CN"/>
        </w:rPr>
        <w:t>后续可再办理补签等手续。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altName w:val="黑体"/>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4530725</wp:posOffset>
              </wp:positionH>
              <wp:positionV relativeFrom="paragraph">
                <wp:posOffset>9525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keepNext w:val="0"/>
                            <w:keepLines w:val="0"/>
                            <w:pageBreakBefore w:val="0"/>
                            <w:widowControl w:val="0"/>
                            <w:kinsoku/>
                            <w:wordWrap/>
                            <w:overflowPunct/>
                            <w:topLinePunct w:val="0"/>
                            <w:autoSpaceDE/>
                            <w:autoSpaceDN/>
                            <w:bidi w:val="0"/>
                            <w:adjustRightInd/>
                            <w:snapToGrid w:val="0"/>
                            <w:ind w:left="0" w:leftChars="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356.75pt;margin-top:0.75pt;height:144pt;width:144pt;mso-position-horizontal-relative:margin;mso-wrap-style:none;z-index:251659264;mso-width-relative:page;mso-height-relative:page;" filled="f" stroked="f" coordsize="21600,21600" o:gfxdata="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4ljuS1QAAAAoBAAAPAAAAAAAAAAEAIAAAACIAAABkcnMvZG93bnJl&#10;di54bWxQSwECFAAUAAAACACHTuJA9Aknl8cBAACZAwAADgAAAAAAAAABACAAAAAkAQAAZHJzL2Uy&#10;b0RvYy54bWxQSwUGAAAAAAYABgBZAQAAXQUAAAAA&#10;">
              <v:fill on="f" focussize="0,0"/>
              <v:stroke on="f"/>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0" w:leftChars="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ind w:left="210" w:leftChars="100"/>
      <w:textAlignment w:val="auto"/>
    </w:pPr>
    <w:r>
      <w:rPr>
        <w:sz w:val="18"/>
      </w:rPr>
      <mc:AlternateContent>
        <mc:Choice Requires="wps">
          <w:drawing>
            <wp:anchor distT="0" distB="0" distL="114300" distR="114300" simplePos="0" relativeHeight="251660288" behindDoc="0" locked="0" layoutInCell="1" allowOverlap="1">
              <wp:simplePos x="0" y="0"/>
              <wp:positionH relativeFrom="margin">
                <wp:posOffset>-12700</wp:posOffset>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keepNext w:val="0"/>
                            <w:keepLines w:val="0"/>
                            <w:pageBreakBefore w:val="0"/>
                            <w:widowControl w:val="0"/>
                            <w:kinsoku/>
                            <w:wordWrap/>
                            <w:overflowPunct/>
                            <w:topLinePunct w:val="0"/>
                            <w:autoSpaceDE/>
                            <w:autoSpaceDN/>
                            <w:bidi w:val="0"/>
                            <w:adjustRightInd/>
                            <w:snapToGrid w:val="0"/>
                            <w:ind w:left="210" w:leftChars="100"/>
                            <w:textAlignment w:val="auto"/>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1pt;margin-top:0.75pt;height:144pt;width:144pt;mso-position-horizontal-relative:margin;mso-wrap-style:none;z-index:251660288;mso-width-relative:page;mso-height-relative:page;" filled="f" stroked="f" coordsize="21600,21600" o:gfxdata="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8xV8r1AAAAAgBAAAPAAAAAAAAAAEAIAAAACIAAABkcnMvZG93bnJl&#10;di54bWxQSwECFAAUAAAACACHTuJA5KL+z8gBAACZAwAADgAAAAAAAAABACAAAAAjAQAAZHJzL2Uy&#10;b0RvYy54bWxQSwUGAAAAAAYABgBZAQAAXQUAAAAA&#10;">
              <v:fill on="f" focussize="0,0"/>
              <v:stroke on="f"/>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210" w:leftChars="100"/>
                      <w:textAlignment w:val="auto"/>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yNzM0ODc1MWRkODM3MTIwMDFmZTY4MTNiZWUzMGYifQ=="/>
  </w:docVars>
  <w:rsids>
    <w:rsidRoot w:val="652772A4"/>
    <w:rsid w:val="0766120B"/>
    <w:rsid w:val="137B0B1B"/>
    <w:rsid w:val="143F5639"/>
    <w:rsid w:val="1AE33F45"/>
    <w:rsid w:val="1FA36286"/>
    <w:rsid w:val="208456DB"/>
    <w:rsid w:val="25180974"/>
    <w:rsid w:val="43BE2B29"/>
    <w:rsid w:val="4ADB5E1D"/>
    <w:rsid w:val="652772A4"/>
    <w:rsid w:val="7D24527D"/>
    <w:rsid w:val="7D800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2"/>
    <w:basedOn w:val="1"/>
    <w:next w:val="1"/>
    <w:qFormat/>
    <w:uiPriority w:val="0"/>
    <w:pPr>
      <w:spacing w:line="590" w:lineRule="exact"/>
      <w:ind w:firstLine="880" w:firstLineChars="200"/>
    </w:pPr>
    <w:rPr>
      <w:rFonts w:ascii="Times New Roman" w:hAnsi="Times New Roman" w:eastAsia="方正仿宋_GBK" w:cs="Times New Roman"/>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8680</Words>
  <Characters>8804</Characters>
  <Lines>0</Lines>
  <Paragraphs>0</Paragraphs>
  <TotalTime>2</TotalTime>
  <ScaleCrop>false</ScaleCrop>
  <LinksUpToDate>false</LinksUpToDate>
  <CharactersWithSpaces>9043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2023-05-16T03:52:00Z</dcterms:created>
  <dc:creator>冬藏一隅</dc:creator>
  <cp:lastModifiedBy>冬藏一隅</cp:lastModifiedBy>
  <dcterms:modified xsi:type="dcterms:W3CDTF">2023-07-04T02:35:25Z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B8D24CA92A4A453BA197049B94229005_11</vt:lpwstr>
  </property>
</Properties>
</file>