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pStyle w:val="4"/>
        <w:shd w:val="clear" w:color="auto" w:fill="FFFFFF"/>
        <w:tabs>
          <w:tab w:val="left" w:pos="1134"/>
        </w:tabs>
        <w:adjustRightInd w:val="0"/>
        <w:snapToGrid w:val="0"/>
        <w:spacing w:before="0" w:beforeAutospacing="0" w:after="0" w:afterAutospacing="0" w:line="660" w:lineRule="exact"/>
        <w:jc w:val="center"/>
        <w:rPr>
          <w:rFonts w:hint="eastAsia" w:ascii="方正小标宋_GBK" w:hAnsi="方正小标宋_GBK" w:eastAsia="方正小标宋_GBK" w:cs="方正小标宋_GBK"/>
          <w:b w:val="0"/>
          <w:bCs/>
          <w:snapToGrid w:val="0"/>
          <w:color w:val="000000"/>
          <w:sz w:val="44"/>
          <w:szCs w:val="44"/>
          <w:lang w:eastAsia="zh-CN"/>
        </w:rPr>
      </w:pPr>
      <w:bookmarkStart w:id="0" w:name="_GoBack"/>
      <w:r>
        <w:rPr>
          <w:rFonts w:hint="eastAsia" w:ascii="方正小标宋_GBK" w:hAnsi="方正小标宋_GBK" w:eastAsia="方正小标宋_GBK" w:cs="方正小标宋_GBK"/>
          <w:b w:val="0"/>
          <w:bCs/>
          <w:snapToGrid w:val="0"/>
          <w:color w:val="000000"/>
          <w:sz w:val="44"/>
          <w:szCs w:val="44"/>
          <w:lang w:eastAsia="zh-CN"/>
        </w:rPr>
        <w:t>歙县人民政府关于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60" w:lineRule="exact"/>
        <w:ind w:left="0" w:firstLine="0"/>
        <w:jc w:val="center"/>
        <w:textAlignment w:val="auto"/>
        <w:rPr>
          <w:rFonts w:hint="eastAsia" w:ascii="方正小标宋_GBK" w:hAnsi="方正小标宋_GBK" w:eastAsia="方正小标宋_GBK" w:cs="方正小标宋_GBK"/>
          <w:b w:val="0"/>
          <w:bCs/>
          <w:snapToGrid w:val="0"/>
          <w:color w:val="000000"/>
          <w:sz w:val="44"/>
          <w:szCs w:val="44"/>
          <w:highlight w:val="none"/>
          <w:lang w:eastAsia="zh-CN"/>
        </w:rPr>
      </w:pPr>
      <w:r>
        <w:rPr>
          <w:rFonts w:hint="eastAsia" w:ascii="方正小标宋_GBK" w:hAnsi="方正小标宋_GBK" w:eastAsia="方正小标宋_GBK" w:cs="方正小标宋_GBK"/>
          <w:b w:val="0"/>
          <w:bCs/>
          <w:snapToGrid w:val="0"/>
          <w:color w:val="000000"/>
          <w:sz w:val="44"/>
          <w:szCs w:val="44"/>
          <w:lang w:eastAsia="zh-CN"/>
        </w:rPr>
        <w:t>调整</w:t>
      </w:r>
      <w:r>
        <w:rPr>
          <w:rFonts w:hint="eastAsia" w:ascii="方正小标宋_GBK" w:hAnsi="方正小标宋_GBK" w:eastAsia="方正小标宋_GBK" w:cs="方正小标宋_GBK"/>
          <w:b w:val="0"/>
          <w:bCs/>
          <w:snapToGrid w:val="0"/>
          <w:color w:val="000000"/>
          <w:sz w:val="44"/>
          <w:szCs w:val="44"/>
        </w:rPr>
        <w:t>城镇土地使用税税额</w:t>
      </w:r>
      <w:r>
        <w:rPr>
          <w:rFonts w:hint="eastAsia" w:ascii="方正小标宋_GBK" w:hAnsi="方正小标宋_GBK" w:eastAsia="方正小标宋_GBK" w:cs="方正小标宋_GBK"/>
          <w:b w:val="0"/>
          <w:bCs/>
          <w:snapToGrid w:val="0"/>
          <w:color w:val="000000"/>
          <w:sz w:val="44"/>
          <w:szCs w:val="44"/>
          <w:highlight w:val="none"/>
        </w:rPr>
        <w:t>标准</w:t>
      </w:r>
      <w:r>
        <w:rPr>
          <w:rFonts w:hint="eastAsia" w:ascii="方正小标宋_GBK" w:hAnsi="方正小标宋_GBK" w:eastAsia="方正小标宋_GBK" w:cs="方正小标宋_GBK"/>
          <w:b w:val="0"/>
          <w:bCs/>
          <w:snapToGrid w:val="0"/>
          <w:color w:val="000000"/>
          <w:sz w:val="44"/>
          <w:szCs w:val="44"/>
          <w:highlight w:val="none"/>
          <w:lang w:eastAsia="zh-CN"/>
        </w:rPr>
        <w:t>的通知</w:t>
      </w:r>
    </w:p>
    <w:bookmarkEnd w:id="0"/>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60" w:lineRule="exact"/>
        <w:ind w:left="0" w:firstLine="0"/>
        <w:jc w:val="center"/>
        <w:textAlignment w:val="auto"/>
        <w:rPr>
          <w:rFonts w:hint="default"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歙政秘〔2023〕9号</w:t>
      </w:r>
    </w:p>
    <w:p>
      <w:pPr>
        <w:rPr>
          <w:rFonts w:hint="default"/>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0" w:firstLineChars="0"/>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各乡镇人民政府，县政府各部门、各直属机构：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为切实降低实体经济成本，促进经济高质量发展，根据《中共安徽省委办公厅安徽省人民政府办公厅印发〈关于对标学习沪苏浙经济社会发展和科技创新政策举措清单〉的通知》（厅〔2021〕17号）和《国家税务总局安徽省税务局关于对标沪苏浙推进城镇土地使用税税额标准调整工作的通知》（皖税发〔2021〕59号），经县政府第19次常务会议研究同意，决定对我县城镇土地使用税税额标准进行调整。现将有关事项通知如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t>一、等级范围。</w:t>
      </w: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调整后等级范围仍按照《歙县人民政府关于调整城镇土地使用税单位税额标准的通知》(政秘〔2018〕56号)相关规定执行。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t>二、歙县征收城镇土地使用税的土地划分为四个等级</w:t>
      </w: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 xml:space="preserve">（详见附件）。前三个等级税额保持不变，分别是一等土地8元/㎡、二等土地6元/㎡、三等土地5元/㎡，四等土地由原来的4元/㎡调整为3元/㎡，自2023年1月1日（税款所属期）起实施。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pPr>
      <w:r>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t>三、调整后的城镇土地使用税按年计算，分季缴纳，在季后15日内申报缴纳。</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pPr>
      <w:r>
        <w:rPr>
          <w:rFonts w:hint="eastAsia" w:ascii="方正小标宋_GBK" w:hAnsi="方正小标宋_GBK" w:eastAsia="方正小标宋_GBK" w:cs="方正小标宋_GBK"/>
          <w:b w:val="0"/>
          <w:bCs/>
          <w:i w:val="0"/>
          <w:iCs w:val="0"/>
          <w:caps w:val="0"/>
          <w:color w:val="333333"/>
          <w:spacing w:val="0"/>
          <w:kern w:val="2"/>
          <w:sz w:val="32"/>
          <w:szCs w:val="32"/>
          <w:shd w:val="clear" w:fill="FFFFFF"/>
          <w:lang w:val="en-US" w:eastAsia="zh-CN" w:bidi="ar-SA"/>
        </w:rPr>
        <w:t>四、本通知实施中的具体问题由国家税务总局歙县税务局负责解释。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附件：歙县城镇土地使用税等级范围表</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480" w:firstLineChars="14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480" w:firstLineChars="1400"/>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560" w:lineRule="exact"/>
        <w:ind w:firstLine="4480" w:firstLineChars="1400"/>
        <w:jc w:val="righ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 xml:space="preserve">   </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560" w:lineRule="exact"/>
        <w:ind w:firstLine="4480" w:firstLineChars="1400"/>
        <w:jc w:val="righ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 xml:space="preserve">2023年3月31日      </w:t>
      </w: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spacing w:line="560" w:lineRule="exac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spacing w:line="560" w:lineRule="exact"/>
        <w:ind w:left="960" w:hanging="960" w:hangingChars="300"/>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抄送：县委各部门，县人大常委会办公室、政协办公室，驻歙各单位，各群众团体。</w:t>
      </w:r>
    </w:p>
    <w:p>
      <w:pPr>
        <w:widowControl/>
        <w:shd w:val="clear" w:color="auto" w:fill="FFFFFF"/>
        <w:spacing w:line="4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hd w:val="clear" w:color="auto" w:fill="FFFFFF"/>
        <w:adjustRightInd w:val="0"/>
        <w:spacing w:line="3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附件</w:t>
      </w:r>
    </w:p>
    <w:p>
      <w:pPr>
        <w:widowControl/>
        <w:shd w:val="clear" w:color="auto" w:fill="FFFFFF"/>
        <w:adjustRightInd w:val="0"/>
        <w:spacing w:line="320" w:lineRule="exact"/>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spacing w:line="420" w:lineRule="auto"/>
        <w:jc w:val="center"/>
        <w:rPr>
          <w:rFonts w:hint="eastAsia" w:ascii="方正小标宋_GBK" w:hAnsi="方正小标宋_GBK" w:eastAsia="方正小标宋_GBK" w:cs="方正小标宋_GBK"/>
          <w:b w:val="0"/>
          <w:bCs/>
          <w:i w:val="0"/>
          <w:iCs w:val="0"/>
          <w:caps w:val="0"/>
          <w:color w:val="333333"/>
          <w:spacing w:val="0"/>
          <w:kern w:val="2"/>
          <w:sz w:val="44"/>
          <w:szCs w:val="44"/>
          <w:shd w:val="clear" w:fill="FFFFFF"/>
          <w:lang w:val="en-US" w:eastAsia="zh-CN" w:bidi="ar-SA"/>
        </w:rPr>
      </w:pPr>
      <w:r>
        <w:rPr>
          <w:rFonts w:hint="eastAsia" w:ascii="方正小标宋_GBK" w:hAnsi="方正小标宋_GBK" w:eastAsia="方正小标宋_GBK" w:cs="方正小标宋_GBK"/>
          <w:b w:val="0"/>
          <w:bCs/>
          <w:i w:val="0"/>
          <w:iCs w:val="0"/>
          <w:caps w:val="0"/>
          <w:color w:val="333333"/>
          <w:spacing w:val="0"/>
          <w:kern w:val="2"/>
          <w:sz w:val="44"/>
          <w:szCs w:val="44"/>
          <w:shd w:val="clear" w:fill="FFFFFF"/>
          <w:lang w:val="en-US" w:eastAsia="zh-CN" w:bidi="ar-SA"/>
        </w:rPr>
        <w:t>歙县城镇土地使用税等级范围表</w:t>
      </w:r>
    </w:p>
    <w:tbl>
      <w:tblPr>
        <w:tblStyle w:val="18"/>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47"/>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04"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土地</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等级</w:t>
            </w:r>
          </w:p>
        </w:tc>
        <w:tc>
          <w:tcPr>
            <w:tcW w:w="7875" w:type="dxa"/>
            <w:gridSpan w:val="2"/>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分 布 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04" w:type="dxa"/>
            <w:vMerge w:val="restart"/>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一</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等</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土</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地</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1</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徽城镇辖区内的中心城区：以徽州府衙为中心，南至渔梁景区（含渔梁景区），西至歙州大道铁路桥（七里头），西北沿皖赣铁路至富资河铁路桥、沿富资河至万年桥，北至扬之桥、看守所路口（慈张公路与徽州路第一交叉路口），东北至德胜门，东至县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2</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河西片(南至渔梁坝西岸)。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04" w:type="dxa"/>
            <w:vMerge w:val="restart"/>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二</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等</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土</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地</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1</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徽城镇古关村、七川村、新洲居委会、北关村、新路居委会（村委会）、问政村(不包括问政山山顶)、渔梁居委会及旸村除上述一等土地外的范围。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2</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歙县经济开发区、歙县循环经济园区、练江牧场。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ind w:firstLine="320" w:firstLineChars="100"/>
              <w:jc w:val="both"/>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3</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看守所路口沿慈张公路至开发区二桥路口的公路两侧地区。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ind w:firstLine="320" w:firstLineChars="100"/>
              <w:jc w:val="both"/>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4</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富堨镇：富堨村（含）沿富资河、郑歙公路(原城许公路)至县城的两侧地区；郑歙公路(原城许公路)、皖赣铁路、布射河及合福高铁(包括高铁歙县北站及站前区)合围区域。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ind w:firstLine="320" w:firstLineChars="100"/>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ind w:firstLine="320" w:firstLineChars="100"/>
              <w:jc w:val="both"/>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5</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郑村镇：郑村村；郑村桥头沿公路经鲍家花园牌坊群至紫阳路两侧地区；呈歙公路两侧地区；郑村镇范围内与徽州区、徽城镇相接的沿慈张公路两侧地区。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6</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徽州区范围内本县土地。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04" w:type="dxa"/>
            <w:vMerge w:val="restart"/>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三</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等</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土</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地</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1</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徽城镇范围内除上述一、二等外的其它地区。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2</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桂林镇：桂林村(不包括中溪村、坑边村、越塘村、八亩村，但包括老水泥厂至县城方向公路两侧地区)；沿慈张公路两侧地区（除上述二等范围）。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3</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北岸镇：北岸村；大阜村；省道S324线杭徽公路两侧地区。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4</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深渡镇：深渡社区居委会所在地（包括车田马路、五里潭、凤池、九里潭）；大茂社区居委会所在地；南深公路两侧（深渡镇政府所在区域至中坑源，包括朱家坞、开山坞）；大深公路两侧（深渡镇政府所在区域至佛坑路口，包括小源、栗树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vMerge w:val="continue"/>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5</w:t>
            </w:r>
          </w:p>
        </w:tc>
        <w:tc>
          <w:tcPr>
            <w:tcW w:w="7128" w:type="dxa"/>
            <w:noWrap w:val="0"/>
            <w:vAlign w:val="center"/>
          </w:tcPr>
          <w:p>
            <w:pPr>
              <w:widowControl/>
              <w:jc w:val="left"/>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郑村镇范围内除上述二等外的其它地区。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6</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上述各镇范围内的经济开发区、工业园区、农民创业园区等各类经济园区（不包括上述一、二等范围）。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4" w:type="dxa"/>
            <w:vMerge w:val="restart"/>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ind w:firstLine="480" w:firstLineChars="150"/>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四</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等</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土</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地</w:t>
            </w:r>
          </w:p>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1</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溪头镇：溪头村(不含长庆、叶祁)。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2</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许村镇：许村村。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3</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杞梓里镇：杞梓里村、省道S324线杭徽公路两侧地区。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4</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霞坑镇：霞坑村、省道S324线杭徽公路两侧地区。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5</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岔口镇：岔口村(上至岔口中学和粮站、下至金凤凰缫丝厂)。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6</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街口镇：新门村(沿王街公路街口茶厂至街口粮站)。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7</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王村镇：王村村（原王村村、上店村、烟西村、敬兴村范围内）、新安村（原烟村范围）、横关村（徽杭高速公路以北范围）、升庄村（原柏山村、升庄村、徐村范围）。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vMerge w:val="continue"/>
            <w:noWrap w:val="0"/>
            <w:vAlign w:val="top"/>
          </w:tcPr>
          <w:p>
            <w:pPr>
              <w:widowControl/>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8</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上述各镇范围内的经济开发区、工业园区、农民创业园区等各类经济园区。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4" w:type="dxa"/>
            <w:vMerge w:val="continue"/>
            <w:noWrap w:val="0"/>
            <w:vAlign w:val="top"/>
          </w:tcPr>
          <w:p>
            <w:pPr>
              <w:widowControl/>
              <w:spacing w:line="420" w:lineRule="auto"/>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9</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雄村镇：雄村村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04" w:type="dxa"/>
            <w:vMerge w:val="continue"/>
            <w:noWrap w:val="0"/>
            <w:vAlign w:val="top"/>
          </w:tcPr>
          <w:p>
            <w:pPr>
              <w:widowControl/>
              <w:spacing w:line="420" w:lineRule="auto"/>
              <w:jc w:val="cente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10</w:t>
            </w:r>
          </w:p>
        </w:tc>
        <w:tc>
          <w:tcPr>
            <w:tcW w:w="71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t>三阳镇：三阳村、中村、叶村公路（含新筹建的三阳至高铁站、高速路下道口连接线）沿线两侧</w:t>
            </w:r>
          </w:p>
        </w:tc>
      </w:tr>
    </w:tbl>
    <w:p>
      <w:pPr>
        <w:adjustRightInd w:val="0"/>
        <w:snapToGrid w:val="0"/>
        <w:spacing w:line="520" w:lineRule="exact"/>
        <w:ind w:left="210" w:leftChars="100" w:right="210" w:rightChars="100"/>
        <w:rPr>
          <w:rFonts w:hint="eastAsia"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642403"/>
    <w:rsid w:val="048A5804"/>
    <w:rsid w:val="04AE12ED"/>
    <w:rsid w:val="04B679C3"/>
    <w:rsid w:val="080F63D8"/>
    <w:rsid w:val="09341458"/>
    <w:rsid w:val="0B0912D7"/>
    <w:rsid w:val="0B331977"/>
    <w:rsid w:val="0D907891"/>
    <w:rsid w:val="0EA26937"/>
    <w:rsid w:val="13392CAD"/>
    <w:rsid w:val="152D2DCA"/>
    <w:rsid w:val="17FF6A0B"/>
    <w:rsid w:val="18812A66"/>
    <w:rsid w:val="1C001A98"/>
    <w:rsid w:val="1DEC284C"/>
    <w:rsid w:val="1E6523AC"/>
    <w:rsid w:val="20337402"/>
    <w:rsid w:val="2219494D"/>
    <w:rsid w:val="22440422"/>
    <w:rsid w:val="235A2EF8"/>
    <w:rsid w:val="27077982"/>
    <w:rsid w:val="2C1F1FCF"/>
    <w:rsid w:val="2D67693D"/>
    <w:rsid w:val="30E87D95"/>
    <w:rsid w:val="31A15F24"/>
    <w:rsid w:val="35E9CD16"/>
    <w:rsid w:val="368D3E2A"/>
    <w:rsid w:val="378E6E40"/>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8B814CD"/>
    <w:rsid w:val="4A7D4C52"/>
    <w:rsid w:val="4BC77339"/>
    <w:rsid w:val="4BDF0EBD"/>
    <w:rsid w:val="4C9236C5"/>
    <w:rsid w:val="505C172E"/>
    <w:rsid w:val="51AB479B"/>
    <w:rsid w:val="52F46F0B"/>
    <w:rsid w:val="530A1CF5"/>
    <w:rsid w:val="534D53DE"/>
    <w:rsid w:val="53D8014D"/>
    <w:rsid w:val="55E064E0"/>
    <w:rsid w:val="56CB31E9"/>
    <w:rsid w:val="572C6D10"/>
    <w:rsid w:val="5DC34279"/>
    <w:rsid w:val="5FFF3173"/>
    <w:rsid w:val="608816D1"/>
    <w:rsid w:val="60EF4E7F"/>
    <w:rsid w:val="665233C1"/>
    <w:rsid w:val="67A020DA"/>
    <w:rsid w:val="6AD9688B"/>
    <w:rsid w:val="6C7720FE"/>
    <w:rsid w:val="6D0E3F22"/>
    <w:rsid w:val="6DFD9271"/>
    <w:rsid w:val="70422316"/>
    <w:rsid w:val="72135D1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uiPriority w:val="0"/>
    <w:rPr>
      <w:rFonts w:ascii="Arial" w:hAnsi="Arial" w:cs="Arial"/>
      <w:color w:val="A49D9D"/>
      <w:sz w:val="16"/>
      <w:szCs w:val="16"/>
      <w:u w:val="none"/>
    </w:rPr>
  </w:style>
  <w:style w:type="character" w:customStyle="1" w:styleId="32">
    <w:name w:val="font11"/>
    <w:basedOn w:val="19"/>
    <w:uiPriority w:val="0"/>
    <w:rPr>
      <w:rFonts w:hint="eastAsia" w:ascii="仿宋_GB2312" w:eastAsia="仿宋_GB2312" w:cs="仿宋_GB2312"/>
      <w:color w:val="A49D9D"/>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1560</Words>
  <Characters>1594</Characters>
  <Lines>5</Lines>
  <Paragraphs>1</Paragraphs>
  <TotalTime>4</TotalTime>
  <ScaleCrop>false</ScaleCrop>
  <LinksUpToDate>false</LinksUpToDate>
  <CharactersWithSpaces>1621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2023-04-17T03:05:35Z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79D0F1F18F364C28BA8EA2752FB0080C</vt:lpwstr>
  </property>
</Properties>
</file>